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E819" w14:textId="75B20CE5" w:rsidR="004875E0" w:rsidRPr="00032A75" w:rsidRDefault="004875E0" w:rsidP="00181E53">
      <w:pPr>
        <w:pStyle w:val="Title"/>
        <w:rPr>
          <w:rFonts w:ascii="KPMG Light" w:hAnsi="KPMG Light"/>
          <w:b w:val="0"/>
          <w:bCs/>
          <w:color w:val="2F5496"/>
          <w:sz w:val="96"/>
          <w:szCs w:val="96"/>
        </w:rPr>
      </w:pPr>
      <w:r w:rsidRPr="00032A75">
        <w:rPr>
          <w:rFonts w:ascii="KPMG Light" w:hAnsi="KPMG Light"/>
          <w:b w:val="0"/>
          <w:bCs/>
          <w:color w:val="2F5496"/>
          <w:sz w:val="96"/>
          <w:szCs w:val="96"/>
        </w:rPr>
        <w:t>Informacja</w:t>
      </w:r>
      <w:r w:rsidR="000F78CF">
        <w:rPr>
          <w:rFonts w:ascii="KPMG Light" w:hAnsi="KPMG Light"/>
          <w:b w:val="0"/>
          <w:bCs/>
          <w:color w:val="2F5496"/>
          <w:sz w:val="96"/>
          <w:szCs w:val="96"/>
        </w:rPr>
        <w:t xml:space="preserve"> </w:t>
      </w:r>
      <w:r w:rsidR="000F78CF" w:rsidRPr="00032A75">
        <w:rPr>
          <w:rFonts w:ascii="KPMG Light" w:hAnsi="KPMG Light"/>
          <w:b w:val="0"/>
          <w:bCs/>
          <w:color w:val="2F5496"/>
          <w:sz w:val="96"/>
          <w:szCs w:val="96"/>
        </w:rPr>
        <w:t>o</w:t>
      </w:r>
      <w:r w:rsidRPr="00032A75">
        <w:rPr>
          <w:rFonts w:ascii="KPMG Light" w:hAnsi="KPMG Light"/>
          <w:b w:val="0"/>
          <w:bCs/>
          <w:color w:val="2F5496"/>
          <w:sz w:val="96"/>
          <w:szCs w:val="96"/>
        </w:rPr>
        <w:t xml:space="preserve"> </w:t>
      </w:r>
      <w:r w:rsidR="0079051D" w:rsidRPr="00032A75">
        <w:rPr>
          <w:rFonts w:ascii="KPMG Light" w:hAnsi="KPMG Light"/>
          <w:b w:val="0"/>
          <w:bCs/>
          <w:color w:val="2F5496"/>
          <w:sz w:val="96"/>
          <w:szCs w:val="96"/>
        </w:rPr>
        <w:t xml:space="preserve">realizowanej </w:t>
      </w:r>
      <w:r w:rsidRPr="00032A75">
        <w:rPr>
          <w:rFonts w:ascii="KPMG Light" w:hAnsi="KPMG Light"/>
          <w:b w:val="0"/>
          <w:bCs/>
          <w:color w:val="2F5496"/>
          <w:sz w:val="96"/>
          <w:szCs w:val="96"/>
        </w:rPr>
        <w:t xml:space="preserve">przez </w:t>
      </w:r>
    </w:p>
    <w:p w14:paraId="15D4D4D9" w14:textId="00F85131" w:rsidR="007069E9" w:rsidRPr="007069E9" w:rsidRDefault="007069E9" w:rsidP="007069E9">
      <w:pPr>
        <w:pStyle w:val="Title"/>
        <w:rPr>
          <w:rFonts w:ascii="KPMG Light" w:hAnsi="KPMG Light"/>
          <w:color w:val="2F5496"/>
          <w:sz w:val="96"/>
          <w:szCs w:val="96"/>
          <w:shd w:val="clear" w:color="auto" w:fill="FFFFFF"/>
        </w:rPr>
      </w:pPr>
      <w:proofErr w:type="spellStart"/>
      <w:r w:rsidRPr="007069E9">
        <w:rPr>
          <w:rFonts w:ascii="KPMG Light" w:hAnsi="KPMG Light"/>
          <w:color w:val="2F5496"/>
          <w:sz w:val="96"/>
          <w:szCs w:val="96"/>
          <w:shd w:val="clear" w:color="auto" w:fill="FFFFFF"/>
        </w:rPr>
        <w:t>Liugong</w:t>
      </w:r>
      <w:proofErr w:type="spellEnd"/>
      <w:r w:rsidRPr="007069E9">
        <w:rPr>
          <w:rFonts w:ascii="KPMG Light" w:hAnsi="KPMG Light"/>
          <w:color w:val="2F5496"/>
          <w:sz w:val="96"/>
          <w:szCs w:val="96"/>
          <w:shd w:val="clear" w:color="auto" w:fill="FFFFFF"/>
        </w:rPr>
        <w:t xml:space="preserve"> Dressta Machinery Sp. z o.o.</w:t>
      </w:r>
      <w:r>
        <w:rPr>
          <w:rFonts w:ascii="KPMG Light" w:hAnsi="KPMG Light"/>
          <w:color w:val="2F5496"/>
          <w:sz w:val="96"/>
          <w:szCs w:val="96"/>
          <w:shd w:val="clear" w:color="auto" w:fill="FFFFFF"/>
        </w:rPr>
        <w:t xml:space="preserve"> </w:t>
      </w:r>
    </w:p>
    <w:p w14:paraId="2DE7CAD9" w14:textId="50280922" w:rsidR="00273444" w:rsidRPr="00E94BF8" w:rsidRDefault="00273444" w:rsidP="00E94BF8">
      <w:pPr>
        <w:jc w:val="center"/>
      </w:pPr>
      <w:r w:rsidRPr="00032A75">
        <w:rPr>
          <w:rFonts w:ascii="KPMG Light" w:hAnsi="KPMG Light"/>
          <w:bCs/>
          <w:color w:val="2F5496"/>
          <w:sz w:val="96"/>
          <w:szCs w:val="96"/>
        </w:rPr>
        <w:t>strategii podatkowej</w:t>
      </w:r>
    </w:p>
    <w:p w14:paraId="43E580DE" w14:textId="466DBA6E" w:rsidR="004875E0" w:rsidRPr="00032A75" w:rsidRDefault="00032A75" w:rsidP="00181E53">
      <w:pPr>
        <w:pStyle w:val="Title"/>
        <w:rPr>
          <w:rFonts w:ascii="KPMG Light" w:hAnsi="KPMG Light"/>
          <w:b w:val="0"/>
          <w:bCs/>
          <w:color w:val="2F5496"/>
          <w:sz w:val="96"/>
          <w:szCs w:val="96"/>
        </w:rPr>
        <w:sectPr w:rsidR="004875E0" w:rsidRPr="00032A75" w:rsidSect="00112C3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529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KPMG Light" w:hAnsi="KPMG Light"/>
          <w:b w:val="0"/>
          <w:bCs/>
          <w:color w:val="2F5496"/>
          <w:sz w:val="96"/>
          <w:szCs w:val="96"/>
        </w:rPr>
        <w:t>z</w:t>
      </w:r>
      <w:r w:rsidRPr="00032A75">
        <w:rPr>
          <w:rFonts w:ascii="KPMG Light" w:hAnsi="KPMG Light"/>
          <w:b w:val="0"/>
          <w:bCs/>
          <w:color w:val="2F5496"/>
          <w:sz w:val="96"/>
          <w:szCs w:val="96"/>
        </w:rPr>
        <w:t xml:space="preserve">a </w:t>
      </w:r>
      <w:r w:rsidR="004875E0" w:rsidRPr="00032A75">
        <w:rPr>
          <w:rFonts w:ascii="KPMG Light" w:hAnsi="KPMG Light"/>
          <w:b w:val="0"/>
          <w:bCs/>
          <w:color w:val="2F5496"/>
          <w:sz w:val="96"/>
          <w:szCs w:val="96"/>
        </w:rPr>
        <w:t>rok podatkowy 202</w:t>
      </w:r>
      <w:r w:rsidR="00837279">
        <w:rPr>
          <w:rFonts w:ascii="KPMG Light" w:hAnsi="KPMG Light"/>
          <w:b w:val="0"/>
          <w:bCs/>
          <w:color w:val="2F5496"/>
          <w:sz w:val="96"/>
          <w:szCs w:val="96"/>
        </w:rPr>
        <w:t>2</w:t>
      </w:r>
    </w:p>
    <w:p w14:paraId="3BD8A059" w14:textId="1A56CA3B" w:rsidR="004875E0" w:rsidRDefault="004875E0" w:rsidP="000F78CF">
      <w:pPr>
        <w:pStyle w:val="Heading1"/>
        <w:spacing w:line="240" w:lineRule="auto"/>
      </w:pPr>
      <w:bookmarkStart w:id="0" w:name="_Toc72139919"/>
      <w:r>
        <w:lastRenderedPageBreak/>
        <w:t>Wstęp</w:t>
      </w:r>
      <w:bookmarkEnd w:id="0"/>
    </w:p>
    <w:p w14:paraId="21821E72" w14:textId="713B81F8" w:rsidR="004875E0" w:rsidRDefault="007C5EBF" w:rsidP="005E0242">
      <w:pPr>
        <w:spacing w:line="240" w:lineRule="auto"/>
      </w:pPr>
      <w:r>
        <w:t>Niniejsza informacja (dalej „</w:t>
      </w:r>
      <w:r w:rsidRPr="007C5EBF">
        <w:rPr>
          <w:b/>
          <w:bCs/>
        </w:rPr>
        <w:t>Informacja</w:t>
      </w:r>
      <w:r>
        <w:t xml:space="preserve">”) </w:t>
      </w:r>
      <w:r w:rsidRPr="00F6016D">
        <w:t>ma na celu realizacj</w:t>
      </w:r>
      <w:r>
        <w:t xml:space="preserve">ę </w:t>
      </w:r>
      <w:r w:rsidRPr="00F6016D">
        <w:t>przez</w:t>
      </w:r>
      <w:r>
        <w:rPr>
          <w:b/>
          <w:bCs/>
        </w:rPr>
        <w:t xml:space="preserve"> </w:t>
      </w:r>
      <w:proofErr w:type="spellStart"/>
      <w:r w:rsidR="007069E9" w:rsidRPr="007069E9">
        <w:rPr>
          <w:b/>
          <w:bCs/>
        </w:rPr>
        <w:t>Liugong</w:t>
      </w:r>
      <w:proofErr w:type="spellEnd"/>
      <w:r w:rsidR="007069E9" w:rsidRPr="007069E9">
        <w:rPr>
          <w:b/>
          <w:bCs/>
        </w:rPr>
        <w:t xml:space="preserve"> Dressta Machinery </w:t>
      </w:r>
      <w:r w:rsidR="00D473D0">
        <w:rPr>
          <w:b/>
          <w:bCs/>
        </w:rPr>
        <w:t>Sp. z o.o.</w:t>
      </w:r>
      <w:r w:rsidR="004875E0">
        <w:rPr>
          <w:b/>
          <w:bCs/>
        </w:rPr>
        <w:t xml:space="preserve"> </w:t>
      </w:r>
      <w:r w:rsidR="004875E0" w:rsidRPr="00550166">
        <w:t>(</w:t>
      </w:r>
      <w:r w:rsidR="00032A75">
        <w:t>dalej: „</w:t>
      </w:r>
      <w:proofErr w:type="spellStart"/>
      <w:r w:rsidR="007069E9">
        <w:rPr>
          <w:b/>
          <w:bCs/>
        </w:rPr>
        <w:t>Liugong</w:t>
      </w:r>
      <w:proofErr w:type="spellEnd"/>
      <w:r w:rsidR="007069E9">
        <w:rPr>
          <w:b/>
          <w:bCs/>
        </w:rPr>
        <w:t xml:space="preserve"> Dressta</w:t>
      </w:r>
      <w:r w:rsidR="00032A75">
        <w:t>” lub „</w:t>
      </w:r>
      <w:r w:rsidR="00032A75">
        <w:rPr>
          <w:b/>
          <w:bCs/>
        </w:rPr>
        <w:t>Spółka</w:t>
      </w:r>
      <w:r w:rsidR="00032A75">
        <w:t>)</w:t>
      </w:r>
      <w:r w:rsidR="004875E0" w:rsidRPr="00550166">
        <w:t xml:space="preserve"> </w:t>
      </w:r>
      <w:r w:rsidR="004875E0" w:rsidRPr="00F6016D">
        <w:t>obowiązków wynikających</w:t>
      </w:r>
      <w:r w:rsidR="000F78CF">
        <w:t xml:space="preserve"> </w:t>
      </w:r>
      <w:r w:rsidR="000F78CF" w:rsidRPr="00F6016D">
        <w:t>z</w:t>
      </w:r>
      <w:r w:rsidR="000F78CF">
        <w:t> </w:t>
      </w:r>
      <w:r w:rsidR="004875E0">
        <w:t>art.</w:t>
      </w:r>
      <w:r w:rsidR="005346B2">
        <w:t> </w:t>
      </w:r>
      <w:r w:rsidR="004875E0">
        <w:t>27c ustawy</w:t>
      </w:r>
      <w:r w:rsidR="000F78CF">
        <w:t xml:space="preserve"> </w:t>
      </w:r>
      <w:r w:rsidR="000F78CF" w:rsidRPr="00F6016D">
        <w:t>z</w:t>
      </w:r>
      <w:r w:rsidR="000F78CF">
        <w:t> </w:t>
      </w:r>
      <w:r w:rsidR="004875E0" w:rsidRPr="00F6016D">
        <w:t>dnia 15 lutego 1992 r.</w:t>
      </w:r>
      <w:r w:rsidR="000F78CF">
        <w:t xml:space="preserve"> </w:t>
      </w:r>
      <w:r w:rsidR="000F78CF" w:rsidRPr="00F6016D">
        <w:t>o</w:t>
      </w:r>
      <w:r w:rsidR="000F78CF">
        <w:t> </w:t>
      </w:r>
      <w:r w:rsidR="004875E0" w:rsidRPr="00F6016D">
        <w:t xml:space="preserve">podatku dochodowym od osób prawnych </w:t>
      </w:r>
      <w:r w:rsidR="004875E0" w:rsidRPr="00E420D4">
        <w:t>(</w:t>
      </w:r>
      <w:proofErr w:type="spellStart"/>
      <w:r w:rsidR="004875E0" w:rsidRPr="00E420D4">
        <w:t>t.j</w:t>
      </w:r>
      <w:proofErr w:type="spellEnd"/>
      <w:r w:rsidR="004875E0" w:rsidRPr="00E420D4">
        <w:t>.</w:t>
      </w:r>
      <w:r w:rsidR="00766D19" w:rsidRPr="00E420D4">
        <w:t> </w:t>
      </w:r>
      <w:r w:rsidR="004875E0" w:rsidRPr="00E420D4">
        <w:t>Dz.</w:t>
      </w:r>
      <w:r w:rsidR="00766D19" w:rsidRPr="00E420D4">
        <w:t> </w:t>
      </w:r>
      <w:r w:rsidR="004875E0" w:rsidRPr="00E420D4">
        <w:t>U.</w:t>
      </w:r>
      <w:r w:rsidR="00766D19" w:rsidRPr="00E420D4">
        <w:t> </w:t>
      </w:r>
      <w:r w:rsidR="000F78CF" w:rsidRPr="00E420D4">
        <w:t>z </w:t>
      </w:r>
      <w:r w:rsidR="004875E0" w:rsidRPr="00E420D4">
        <w:t>202</w:t>
      </w:r>
      <w:r w:rsidR="007F0DAD" w:rsidRPr="005A661E">
        <w:t>2</w:t>
      </w:r>
      <w:r w:rsidR="004875E0" w:rsidRPr="00E420D4">
        <w:t xml:space="preserve"> r. poz. </w:t>
      </w:r>
      <w:r w:rsidR="009D4F10" w:rsidRPr="00E420D4">
        <w:t>2</w:t>
      </w:r>
      <w:r w:rsidR="00E420D4" w:rsidRPr="005A661E">
        <w:t>587</w:t>
      </w:r>
      <w:r w:rsidR="000F78CF" w:rsidRPr="00E420D4">
        <w:t xml:space="preserve"> </w:t>
      </w:r>
      <w:r w:rsidR="000F78CF" w:rsidRPr="00EA0EA9">
        <w:t>z</w:t>
      </w:r>
      <w:r w:rsidR="000F78CF">
        <w:t> </w:t>
      </w:r>
      <w:proofErr w:type="spellStart"/>
      <w:r w:rsidR="004875E0" w:rsidRPr="00EA0EA9">
        <w:t>późn</w:t>
      </w:r>
      <w:proofErr w:type="spellEnd"/>
      <w:r w:rsidR="004875E0" w:rsidRPr="00EA0EA9">
        <w:t>. zm.</w:t>
      </w:r>
      <w:r w:rsidR="008A6CD8">
        <w:t>; dalej: „</w:t>
      </w:r>
      <w:r w:rsidR="008A6CD8" w:rsidRPr="008A6CD8">
        <w:rPr>
          <w:b/>
          <w:bCs/>
        </w:rPr>
        <w:t>Ustawa CIT</w:t>
      </w:r>
      <w:r w:rsidR="008A6CD8">
        <w:t>”</w:t>
      </w:r>
      <w:r w:rsidR="004875E0" w:rsidRPr="00F6016D">
        <w:t>)</w:t>
      </w:r>
      <w:r>
        <w:t xml:space="preserve">. Niniejsza </w:t>
      </w:r>
      <w:r w:rsidR="00FF6960">
        <w:t>I</w:t>
      </w:r>
      <w:r>
        <w:t>nformacja dotyczy</w:t>
      </w:r>
      <w:r w:rsidRPr="00151B37">
        <w:t xml:space="preserve"> strategii podatk</w:t>
      </w:r>
      <w:r w:rsidR="007F0DAD">
        <w:t>o</w:t>
      </w:r>
      <w:r w:rsidRPr="00151B37">
        <w:t>wej realizowanej</w:t>
      </w:r>
      <w:r>
        <w:t xml:space="preserve"> przez Spółkę</w:t>
      </w:r>
      <w:r w:rsidR="00CD4DAC" w:rsidRPr="003C3154">
        <w:rPr>
          <w:rFonts w:cs="Arial"/>
        </w:rPr>
        <w:t xml:space="preserve"> </w:t>
      </w:r>
      <w:r>
        <w:rPr>
          <w:rFonts w:cs="Arial"/>
        </w:rPr>
        <w:t xml:space="preserve">w </w:t>
      </w:r>
      <w:r w:rsidRPr="003C3154">
        <w:rPr>
          <w:rFonts w:cs="Arial"/>
        </w:rPr>
        <w:t>rok</w:t>
      </w:r>
      <w:r>
        <w:rPr>
          <w:rFonts w:cs="Arial"/>
        </w:rPr>
        <w:t>u</w:t>
      </w:r>
      <w:r w:rsidRPr="003C3154">
        <w:rPr>
          <w:rFonts w:cs="Arial"/>
        </w:rPr>
        <w:t xml:space="preserve"> podatkowy</w:t>
      </w:r>
      <w:r>
        <w:rPr>
          <w:rFonts w:cs="Arial"/>
        </w:rPr>
        <w:t>m</w:t>
      </w:r>
      <w:r w:rsidRPr="003C3154">
        <w:rPr>
          <w:rFonts w:cs="Arial"/>
        </w:rPr>
        <w:t xml:space="preserve"> trwający</w:t>
      </w:r>
      <w:r>
        <w:rPr>
          <w:rFonts w:cs="Arial"/>
        </w:rPr>
        <w:t>m</w:t>
      </w:r>
      <w:r w:rsidRPr="003C3154">
        <w:rPr>
          <w:rFonts w:cs="Arial"/>
        </w:rPr>
        <w:t xml:space="preserve"> </w:t>
      </w:r>
      <w:r w:rsidR="00CD4DAC" w:rsidRPr="003C3154">
        <w:rPr>
          <w:rFonts w:cs="Arial"/>
        </w:rPr>
        <w:t>od 1 stycznia 202</w:t>
      </w:r>
      <w:r w:rsidR="009D4F10">
        <w:rPr>
          <w:rFonts w:cs="Arial"/>
        </w:rPr>
        <w:t>2</w:t>
      </w:r>
      <w:r w:rsidR="00CD4DAC" w:rsidRPr="003C3154">
        <w:rPr>
          <w:rFonts w:cs="Arial"/>
        </w:rPr>
        <w:t xml:space="preserve"> r. do 31 grudnia 202</w:t>
      </w:r>
      <w:r w:rsidR="009D4F10">
        <w:rPr>
          <w:rFonts w:cs="Arial"/>
        </w:rPr>
        <w:t>2</w:t>
      </w:r>
      <w:r w:rsidR="00CD4DAC" w:rsidRPr="003C3154">
        <w:rPr>
          <w:rFonts w:cs="Arial"/>
        </w:rPr>
        <w:t xml:space="preserve"> r.</w:t>
      </w:r>
      <w:r w:rsidR="00CD4DAC">
        <w:rPr>
          <w:rFonts w:cs="Arial"/>
        </w:rPr>
        <w:t xml:space="preserve"> (dalej: „</w:t>
      </w:r>
      <w:r w:rsidR="00CD4DAC">
        <w:rPr>
          <w:rFonts w:cs="Arial"/>
          <w:b/>
          <w:bCs/>
        </w:rPr>
        <w:t>rok podatkowy 202</w:t>
      </w:r>
      <w:r w:rsidR="009D4F10">
        <w:rPr>
          <w:rFonts w:cs="Arial"/>
          <w:b/>
          <w:bCs/>
        </w:rPr>
        <w:t>2</w:t>
      </w:r>
      <w:r w:rsidR="00CD4DAC">
        <w:rPr>
          <w:rFonts w:cs="Arial"/>
        </w:rPr>
        <w:t>”).</w:t>
      </w:r>
    </w:p>
    <w:p w14:paraId="21C9A076" w14:textId="7C765E3F" w:rsidR="004875E0" w:rsidRDefault="005C6AD5" w:rsidP="000F78CF">
      <w:pPr>
        <w:pStyle w:val="Heading1"/>
        <w:spacing w:line="240" w:lineRule="auto"/>
      </w:pPr>
      <w:r>
        <w:t>Cele strategii podatkowej Spółki</w:t>
      </w:r>
    </w:p>
    <w:p w14:paraId="72250433" w14:textId="55EC097B" w:rsidR="00DF4668" w:rsidRDefault="00A372D9" w:rsidP="00E94BF8">
      <w:pPr>
        <w:spacing w:line="240" w:lineRule="auto"/>
        <w:rPr>
          <w:rFonts w:cs="Arial"/>
        </w:rPr>
      </w:pPr>
      <w:r>
        <w:t>Podstawowym celem s</w:t>
      </w:r>
      <w:r w:rsidR="007C5EBF">
        <w:t>trategi</w:t>
      </w:r>
      <w:r>
        <w:t>i</w:t>
      </w:r>
      <w:r w:rsidR="007C5EBF">
        <w:t xml:space="preserve"> </w:t>
      </w:r>
      <w:r>
        <w:t>podatkowej jest</w:t>
      </w:r>
      <w:r w:rsidR="007C5EBF">
        <w:t xml:space="preserve"> </w:t>
      </w:r>
      <w:r>
        <w:t>zapewnienie</w:t>
      </w:r>
      <w:r w:rsidR="00DF4668" w:rsidRPr="00102BBC">
        <w:rPr>
          <w:rFonts w:cs="Arial"/>
        </w:rPr>
        <w:t xml:space="preserve"> terminowego i rzetelnego wypełniania obowiązków podatkowych nałożonych </w:t>
      </w:r>
      <w:r w:rsidR="00FB6971">
        <w:rPr>
          <w:rFonts w:cs="Arial"/>
        </w:rPr>
        <w:t xml:space="preserve">na Spółkę </w:t>
      </w:r>
      <w:r w:rsidR="00DF4668" w:rsidRPr="00102BBC">
        <w:rPr>
          <w:rFonts w:cs="Arial"/>
        </w:rPr>
        <w:t xml:space="preserve">przez przepisy prawa podatkowego. </w:t>
      </w:r>
    </w:p>
    <w:p w14:paraId="1A1BBF63" w14:textId="6F2DB755" w:rsidR="00FB6971" w:rsidRPr="002821FE" w:rsidRDefault="00FB6971" w:rsidP="00FB6971">
      <w:pPr>
        <w:pStyle w:val="BodyText"/>
        <w:rPr>
          <w:rFonts w:ascii="Arial" w:hAnsi="Arial" w:cs="Arial"/>
        </w:rPr>
      </w:pPr>
      <w:r w:rsidRPr="002821FE">
        <w:rPr>
          <w:rFonts w:ascii="Arial" w:hAnsi="Arial" w:cs="Arial"/>
        </w:rPr>
        <w:t>Powyższ</w:t>
      </w:r>
      <w:r w:rsidR="00C7170A">
        <w:rPr>
          <w:rFonts w:ascii="Arial" w:hAnsi="Arial" w:cs="Arial"/>
        </w:rPr>
        <w:t>y</w:t>
      </w:r>
      <w:r w:rsidRPr="002821FE">
        <w:rPr>
          <w:rFonts w:ascii="Arial" w:hAnsi="Arial" w:cs="Arial"/>
        </w:rPr>
        <w:t xml:space="preserve"> cel</w:t>
      </w:r>
      <w:r>
        <w:rPr>
          <w:rFonts w:ascii="Arial" w:hAnsi="Arial" w:cs="Arial"/>
        </w:rPr>
        <w:t xml:space="preserve"> jest </w:t>
      </w:r>
      <w:r w:rsidRPr="002821FE">
        <w:rPr>
          <w:rFonts w:ascii="Arial" w:hAnsi="Arial" w:cs="Arial"/>
        </w:rPr>
        <w:t>realizowan</w:t>
      </w:r>
      <w:r>
        <w:rPr>
          <w:rFonts w:ascii="Arial" w:hAnsi="Arial" w:cs="Arial"/>
        </w:rPr>
        <w:t>y</w:t>
      </w:r>
      <w:r w:rsidRPr="002821FE">
        <w:rPr>
          <w:rFonts w:ascii="Arial" w:hAnsi="Arial" w:cs="Arial"/>
        </w:rPr>
        <w:t xml:space="preserve"> poprzez:</w:t>
      </w:r>
    </w:p>
    <w:p w14:paraId="7609A1CA" w14:textId="2445D4CE" w:rsidR="00BC1C3B" w:rsidRDefault="00BC1C3B" w:rsidP="007D3184">
      <w:pPr>
        <w:pStyle w:val="ListParagraph"/>
        <w:numPr>
          <w:ilvl w:val="0"/>
          <w:numId w:val="15"/>
        </w:numPr>
        <w:spacing w:line="240" w:lineRule="auto"/>
        <w:rPr>
          <w:rFonts w:cs="Arial"/>
        </w:rPr>
      </w:pPr>
      <w:r>
        <w:rPr>
          <w:rFonts w:cs="Arial"/>
        </w:rPr>
        <w:t>podejmowanie decyzji w celu ograniczania ryzyka podatkowego poprzez minimaliz</w:t>
      </w:r>
      <w:r w:rsidR="00C7170A">
        <w:rPr>
          <w:rFonts w:cs="Arial"/>
        </w:rPr>
        <w:t>owanie</w:t>
      </w:r>
      <w:r>
        <w:rPr>
          <w:rFonts w:cs="Arial"/>
        </w:rPr>
        <w:t xml:space="preserve"> zagrożeń ze strony otoczenia zewnętrznego oraz wewnętrznego;</w:t>
      </w:r>
    </w:p>
    <w:p w14:paraId="0A70D7FF" w14:textId="2A6B3923" w:rsidR="00FB6971" w:rsidRPr="004B6FDD" w:rsidRDefault="00FB6971" w:rsidP="007D3184">
      <w:pPr>
        <w:pStyle w:val="ListBullet"/>
        <w:numPr>
          <w:ilvl w:val="0"/>
          <w:numId w:val="15"/>
        </w:numPr>
        <w:rPr>
          <w:rFonts w:ascii="Arial" w:hAnsi="Arial" w:cs="Arial"/>
        </w:rPr>
      </w:pPr>
      <w:r w:rsidRPr="004B6FDD">
        <w:rPr>
          <w:rFonts w:ascii="Arial" w:hAnsi="Arial" w:cs="Arial"/>
        </w:rPr>
        <w:t>zaangażowani</w:t>
      </w:r>
      <w:r w:rsidR="00BC1C3B">
        <w:rPr>
          <w:rFonts w:ascii="Arial" w:hAnsi="Arial" w:cs="Arial"/>
        </w:rPr>
        <w:t>e</w:t>
      </w:r>
      <w:r w:rsidRPr="004B6FDD">
        <w:rPr>
          <w:rFonts w:ascii="Arial" w:hAnsi="Arial" w:cs="Arial"/>
        </w:rPr>
        <w:t xml:space="preserve"> Zarząd</w:t>
      </w:r>
      <w:r w:rsidR="00C036CC" w:rsidRPr="004B6FDD">
        <w:rPr>
          <w:rFonts w:ascii="Arial" w:hAnsi="Arial" w:cs="Arial"/>
        </w:rPr>
        <w:t>u</w:t>
      </w:r>
      <w:r w:rsidRPr="004B6FDD">
        <w:rPr>
          <w:rFonts w:ascii="Arial" w:hAnsi="Arial" w:cs="Arial"/>
        </w:rPr>
        <w:t xml:space="preserve"> oraz kierownictwa Spółki w procesy podatkowe i ich kontrole</w:t>
      </w:r>
      <w:r w:rsidR="00C7170A">
        <w:rPr>
          <w:rFonts w:ascii="Arial" w:hAnsi="Arial" w:cs="Arial"/>
        </w:rPr>
        <w:t>;</w:t>
      </w:r>
    </w:p>
    <w:p w14:paraId="261B178C" w14:textId="11059BAA" w:rsidR="00FB6971" w:rsidRPr="002821FE" w:rsidRDefault="00BC1C3B" w:rsidP="007D3184">
      <w:pPr>
        <w:pStyle w:val="ListBulle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określenie</w:t>
      </w:r>
      <w:r w:rsidR="005346B2">
        <w:rPr>
          <w:rFonts w:ascii="Arial" w:hAnsi="Arial" w:cs="Arial"/>
        </w:rPr>
        <w:t xml:space="preserve"> zasad postępowania składających się na </w:t>
      </w:r>
      <w:r w:rsidR="00FB6971" w:rsidRPr="004B6FDD">
        <w:rPr>
          <w:rFonts w:ascii="Arial" w:hAnsi="Arial" w:cs="Arial"/>
        </w:rPr>
        <w:t>polityk</w:t>
      </w:r>
      <w:r w:rsidR="005346B2">
        <w:rPr>
          <w:rFonts w:ascii="Arial" w:hAnsi="Arial" w:cs="Arial"/>
        </w:rPr>
        <w:t>ę</w:t>
      </w:r>
      <w:r w:rsidR="00FB6971" w:rsidRPr="004B6FDD">
        <w:rPr>
          <w:rFonts w:ascii="Arial" w:hAnsi="Arial" w:cs="Arial"/>
        </w:rPr>
        <w:t xml:space="preserve"> kadrow</w:t>
      </w:r>
      <w:r w:rsidR="005346B2">
        <w:rPr>
          <w:rFonts w:ascii="Arial" w:hAnsi="Arial" w:cs="Arial"/>
        </w:rPr>
        <w:t>ą</w:t>
      </w:r>
      <w:r w:rsidR="00FB6971" w:rsidRPr="002821FE">
        <w:rPr>
          <w:rFonts w:ascii="Arial" w:hAnsi="Arial" w:cs="Arial"/>
        </w:rPr>
        <w:t>, szkoleniow</w:t>
      </w:r>
      <w:r w:rsidR="005346B2">
        <w:rPr>
          <w:rFonts w:ascii="Arial" w:hAnsi="Arial" w:cs="Arial"/>
        </w:rPr>
        <w:t>ą</w:t>
      </w:r>
      <w:r w:rsidR="00FB6971" w:rsidRPr="002821FE">
        <w:rPr>
          <w:rFonts w:ascii="Arial" w:hAnsi="Arial" w:cs="Arial"/>
        </w:rPr>
        <w:t xml:space="preserve"> i informacyjn</w:t>
      </w:r>
      <w:r w:rsidR="005346B2">
        <w:rPr>
          <w:rFonts w:ascii="Arial" w:hAnsi="Arial" w:cs="Arial"/>
        </w:rPr>
        <w:t>ą</w:t>
      </w:r>
      <w:r w:rsidR="00FB6971" w:rsidRPr="002821FE">
        <w:rPr>
          <w:rFonts w:ascii="Arial" w:hAnsi="Arial" w:cs="Arial"/>
        </w:rPr>
        <w:t xml:space="preserve"> w zakresie podatkowym</w:t>
      </w:r>
      <w:r w:rsidR="00C7170A">
        <w:rPr>
          <w:rFonts w:ascii="Arial" w:hAnsi="Arial" w:cs="Arial"/>
        </w:rPr>
        <w:t>;</w:t>
      </w:r>
    </w:p>
    <w:p w14:paraId="78631B64" w14:textId="1C85CE75" w:rsidR="00FB6971" w:rsidRPr="002821FE" w:rsidRDefault="00BC1C3B" w:rsidP="007D3184">
      <w:pPr>
        <w:pStyle w:val="ListBulle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ustalenie </w:t>
      </w:r>
      <w:r w:rsidR="00FB6971" w:rsidRPr="002821FE">
        <w:rPr>
          <w:rFonts w:ascii="Arial" w:hAnsi="Arial" w:cs="Arial"/>
        </w:rPr>
        <w:t xml:space="preserve">procedur </w:t>
      </w:r>
      <w:r w:rsidR="005F560A">
        <w:rPr>
          <w:rFonts w:ascii="Arial" w:hAnsi="Arial" w:cs="Arial"/>
        </w:rPr>
        <w:t xml:space="preserve">i sposobów postępowania </w:t>
      </w:r>
      <w:r w:rsidR="00FB6971" w:rsidRPr="002821FE">
        <w:rPr>
          <w:rFonts w:ascii="Arial" w:hAnsi="Arial" w:cs="Arial"/>
        </w:rPr>
        <w:t>obowiązujących w </w:t>
      </w:r>
      <w:r w:rsidR="00FB6971">
        <w:rPr>
          <w:rFonts w:ascii="Arial" w:hAnsi="Arial" w:cs="Arial"/>
        </w:rPr>
        <w:t>Spółce</w:t>
      </w:r>
      <w:r w:rsidR="00FB6971" w:rsidRPr="002821FE">
        <w:rPr>
          <w:rFonts w:ascii="Arial" w:hAnsi="Arial" w:cs="Arial"/>
        </w:rPr>
        <w:t>, związanych z funkcj</w:t>
      </w:r>
      <w:r w:rsidR="00F058D4">
        <w:rPr>
          <w:rFonts w:ascii="Arial" w:hAnsi="Arial" w:cs="Arial"/>
        </w:rPr>
        <w:t>ą</w:t>
      </w:r>
      <w:r w:rsidR="00FB6971" w:rsidRPr="002821FE">
        <w:rPr>
          <w:rFonts w:ascii="Arial" w:hAnsi="Arial" w:cs="Arial"/>
        </w:rPr>
        <w:t xml:space="preserve"> podatkow</w:t>
      </w:r>
      <w:r w:rsidR="00F058D4">
        <w:rPr>
          <w:rFonts w:ascii="Arial" w:hAnsi="Arial" w:cs="Arial"/>
        </w:rPr>
        <w:t>ą</w:t>
      </w:r>
      <w:r w:rsidR="00C7170A">
        <w:rPr>
          <w:rFonts w:ascii="Arial" w:hAnsi="Arial" w:cs="Arial"/>
        </w:rPr>
        <w:t>;</w:t>
      </w:r>
    </w:p>
    <w:p w14:paraId="6EEF0F1F" w14:textId="70A545C0" w:rsidR="00FB6971" w:rsidRPr="00F058D4" w:rsidRDefault="00C7170A" w:rsidP="007D3184">
      <w:pPr>
        <w:pStyle w:val="ListBulle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określenie </w:t>
      </w:r>
      <w:r w:rsidR="00FB6971" w:rsidRPr="002821FE">
        <w:rPr>
          <w:rFonts w:ascii="Arial" w:hAnsi="Arial" w:cs="Arial"/>
        </w:rPr>
        <w:t>generalnych zasad współpracy z profesjonalnymi doradcami</w:t>
      </w:r>
      <w:r w:rsidR="00FB6971">
        <w:rPr>
          <w:rFonts w:ascii="Arial" w:hAnsi="Arial" w:cs="Arial"/>
        </w:rPr>
        <w:t xml:space="preserve"> i organami podatkowymi</w:t>
      </w:r>
      <w:r w:rsidR="00F058D4">
        <w:rPr>
          <w:rFonts w:ascii="Arial" w:hAnsi="Arial" w:cs="Arial"/>
        </w:rPr>
        <w:t>.</w:t>
      </w:r>
    </w:p>
    <w:p w14:paraId="55C4BB76" w14:textId="66D15971" w:rsidR="00BE1A46" w:rsidRPr="00BE1A46" w:rsidRDefault="004875E0" w:rsidP="00BE1A46">
      <w:pPr>
        <w:spacing w:line="240" w:lineRule="auto"/>
      </w:pPr>
      <w:r>
        <w:t>Strategia podatkowa Spółki podlega regularnym przeglądom</w:t>
      </w:r>
      <w:r w:rsidR="000F78CF">
        <w:t xml:space="preserve"> i </w:t>
      </w:r>
      <w:r>
        <w:t>jest dostosowywana do zmian zachodzących</w:t>
      </w:r>
      <w:r w:rsidR="000F78CF">
        <w:t xml:space="preserve"> w </w:t>
      </w:r>
      <w:r>
        <w:t>otoczeniu</w:t>
      </w:r>
      <w:r w:rsidR="000F78CF">
        <w:t xml:space="preserve"> i </w:t>
      </w:r>
      <w:r>
        <w:t xml:space="preserve">wewnątrz </w:t>
      </w:r>
      <w:r w:rsidRPr="004B6FDD">
        <w:t>organizacji oraz do zidentyfikowanego ryzyka podatkowego związanego</w:t>
      </w:r>
      <w:r w:rsidR="000F78CF" w:rsidRPr="004B6FDD">
        <w:t xml:space="preserve"> z </w:t>
      </w:r>
      <w:r w:rsidRPr="004B6FDD">
        <w:t>prowadzeniem działalności</w:t>
      </w:r>
      <w:r w:rsidR="00BE1A46" w:rsidRPr="004B6FDD">
        <w:t>.</w:t>
      </w:r>
    </w:p>
    <w:p w14:paraId="29512EF7" w14:textId="243CC80D" w:rsidR="004875E0" w:rsidRDefault="004875E0" w:rsidP="000F78CF">
      <w:pPr>
        <w:pStyle w:val="Heading1"/>
        <w:spacing w:line="240" w:lineRule="auto"/>
      </w:pPr>
      <w:bookmarkStart w:id="1" w:name="_Toc54021490"/>
      <w:bookmarkStart w:id="2" w:name="_Toc54021491"/>
      <w:bookmarkStart w:id="3" w:name="_Toc54021492"/>
      <w:bookmarkStart w:id="4" w:name="_Toc54021493"/>
      <w:bookmarkStart w:id="5" w:name="_Toc54021494"/>
      <w:bookmarkStart w:id="6" w:name="_Toc54021495"/>
      <w:bookmarkStart w:id="7" w:name="_Toc52890274"/>
      <w:bookmarkStart w:id="8" w:name="_Toc52891462"/>
      <w:bookmarkStart w:id="9" w:name="_Toc72139924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F593B">
        <w:t>Informacje</w:t>
      </w:r>
      <w:r w:rsidR="000F78CF" w:rsidRPr="001F593B">
        <w:t xml:space="preserve"> o </w:t>
      </w:r>
      <w:r w:rsidRPr="001F593B">
        <w:t>stosowanych przez podatnika procesach oraz procedurach dotyczących zarządzania wykonywaniem obowiązków wynikających z</w:t>
      </w:r>
      <w:r w:rsidR="000F78CF" w:rsidRPr="001F593B">
        <w:t> </w:t>
      </w:r>
      <w:r w:rsidRPr="001F593B">
        <w:t>przepisów prawa podatkowego</w:t>
      </w:r>
      <w:r w:rsidRPr="00540645">
        <w:t xml:space="preserve"> oraz stosowanych przez podatnika dobrowolnych formach współpracy</w:t>
      </w:r>
      <w:r w:rsidR="000F78CF">
        <w:t xml:space="preserve"> </w:t>
      </w:r>
      <w:r w:rsidR="000F78CF" w:rsidRPr="00540645">
        <w:t>z</w:t>
      </w:r>
      <w:r w:rsidR="000F78CF">
        <w:t> </w:t>
      </w:r>
      <w:r w:rsidRPr="00540645">
        <w:t>organami Krajowej Administracji Skarbowej</w:t>
      </w:r>
      <w:bookmarkEnd w:id="9"/>
      <w:r w:rsidRPr="00540645">
        <w:t xml:space="preserve"> </w:t>
      </w:r>
    </w:p>
    <w:p w14:paraId="2A8381BD" w14:textId="33AD60D0" w:rsidR="004875E0" w:rsidRPr="007133C9" w:rsidRDefault="004875E0" w:rsidP="007D3184">
      <w:pPr>
        <w:pStyle w:val="Heading2"/>
        <w:numPr>
          <w:ilvl w:val="0"/>
          <w:numId w:val="8"/>
        </w:numPr>
        <w:spacing w:line="240" w:lineRule="auto"/>
      </w:pPr>
      <w:bookmarkStart w:id="10" w:name="_Toc72139925"/>
      <w:r w:rsidRPr="007133C9">
        <w:t>Informacje</w:t>
      </w:r>
      <w:r w:rsidR="000F78CF">
        <w:t xml:space="preserve"> </w:t>
      </w:r>
      <w:r w:rsidR="000F78CF" w:rsidRPr="007133C9">
        <w:t>o</w:t>
      </w:r>
      <w:r w:rsidR="000F78CF">
        <w:t> </w:t>
      </w:r>
      <w:r w:rsidRPr="007133C9">
        <w:t>stosowanych przez podatnika procesach oraz procedurach dotyczących zarządzania wykonywaniem obowiązków wynikających</w:t>
      </w:r>
      <w:r w:rsidR="000F78CF">
        <w:t xml:space="preserve"> </w:t>
      </w:r>
      <w:r w:rsidR="000F78CF" w:rsidRPr="007133C9">
        <w:t>z</w:t>
      </w:r>
      <w:r w:rsidR="000F78CF">
        <w:t> </w:t>
      </w:r>
      <w:r w:rsidRPr="007133C9">
        <w:t>przepisów prawa podatkowego</w:t>
      </w:r>
      <w:r w:rsidR="000F78CF">
        <w:t xml:space="preserve"> </w:t>
      </w:r>
      <w:r w:rsidR="000F78CF" w:rsidRPr="007133C9">
        <w:t>i</w:t>
      </w:r>
      <w:r w:rsidR="000F78CF">
        <w:t> </w:t>
      </w:r>
      <w:r w:rsidRPr="007133C9">
        <w:t>zapewniających ich prawidłowe wykonanie</w:t>
      </w:r>
      <w:bookmarkEnd w:id="10"/>
    </w:p>
    <w:p w14:paraId="30D88538" w14:textId="0312A554" w:rsidR="00434A07" w:rsidRDefault="001F593B" w:rsidP="00F62AFA">
      <w:pPr>
        <w:spacing w:line="240" w:lineRule="auto"/>
        <w:rPr>
          <w:rFonts w:cs="Arial"/>
        </w:rPr>
      </w:pPr>
      <w:r>
        <w:rPr>
          <w:rFonts w:cs="Arial"/>
        </w:rPr>
        <w:t>S</w:t>
      </w:r>
      <w:r w:rsidR="002262B5">
        <w:rPr>
          <w:rFonts w:cs="Arial"/>
        </w:rPr>
        <w:t xml:space="preserve">półka dąży do prawidłowej, </w:t>
      </w:r>
      <w:r w:rsidR="002262B5" w:rsidRPr="00224D61">
        <w:rPr>
          <w:rFonts w:cs="Arial"/>
        </w:rPr>
        <w:t xml:space="preserve">rzetelnej i terminowej realizacji obowiązków podatkowych wynikających z przepisów powszechnie obowiązującego prawa. </w:t>
      </w:r>
      <w:r w:rsidR="003040B8" w:rsidRPr="00224D61">
        <w:rPr>
          <w:rFonts w:cs="Arial"/>
        </w:rPr>
        <w:t>W roku podatkowym 2</w:t>
      </w:r>
      <w:r w:rsidR="0061480D">
        <w:rPr>
          <w:rFonts w:cs="Arial"/>
        </w:rPr>
        <w:t>0</w:t>
      </w:r>
      <w:r w:rsidR="003040B8" w:rsidRPr="00224D61">
        <w:rPr>
          <w:rFonts w:cs="Arial"/>
        </w:rPr>
        <w:t>2</w:t>
      </w:r>
      <w:r w:rsidR="0061480D">
        <w:rPr>
          <w:rFonts w:cs="Arial"/>
        </w:rPr>
        <w:t>2</w:t>
      </w:r>
      <w:r w:rsidR="003040B8" w:rsidRPr="00224D61">
        <w:rPr>
          <w:rFonts w:cs="Arial"/>
        </w:rPr>
        <w:t xml:space="preserve"> Spółka realizowała procesy i procedury</w:t>
      </w:r>
      <w:r w:rsidR="003B6566" w:rsidRPr="00224D61">
        <w:rPr>
          <w:rFonts w:cs="Arial"/>
        </w:rPr>
        <w:t>, wynikające zarówno z formalnie przyjętych instrukcji</w:t>
      </w:r>
      <w:r w:rsidR="00224D61" w:rsidRPr="00224D61">
        <w:rPr>
          <w:rFonts w:cs="Arial"/>
        </w:rPr>
        <w:t xml:space="preserve"> jak i</w:t>
      </w:r>
      <w:r w:rsidR="00FA75ED">
        <w:rPr>
          <w:rFonts w:cs="Arial"/>
        </w:rPr>
        <w:t xml:space="preserve"> z</w:t>
      </w:r>
      <w:r w:rsidR="00224D61" w:rsidRPr="00224D61">
        <w:rPr>
          <w:rFonts w:cs="Arial"/>
        </w:rPr>
        <w:t xml:space="preserve"> </w:t>
      </w:r>
      <w:r w:rsidR="00504A55" w:rsidRPr="00224D61">
        <w:rPr>
          <w:rFonts w:cs="Arial"/>
        </w:rPr>
        <w:t xml:space="preserve">procesów postępowania, </w:t>
      </w:r>
      <w:r w:rsidR="003B6566" w:rsidRPr="00224D61">
        <w:rPr>
          <w:rFonts w:cs="Arial"/>
        </w:rPr>
        <w:t xml:space="preserve">będących wynikiem </w:t>
      </w:r>
      <w:r w:rsidR="00224D61">
        <w:rPr>
          <w:rFonts w:cs="Arial"/>
        </w:rPr>
        <w:t>wypracowanych</w:t>
      </w:r>
      <w:r w:rsidR="003B6566" w:rsidRPr="00224D61">
        <w:rPr>
          <w:rFonts w:cs="Arial"/>
        </w:rPr>
        <w:t xml:space="preserve"> praktyk, </w:t>
      </w:r>
      <w:r w:rsidR="00504A55" w:rsidRPr="00224D61">
        <w:rPr>
          <w:rFonts w:cs="Arial"/>
        </w:rPr>
        <w:t>które</w:t>
      </w:r>
      <w:r w:rsidR="003B6566">
        <w:rPr>
          <w:rFonts w:cs="Arial"/>
        </w:rPr>
        <w:t xml:space="preserve"> </w:t>
      </w:r>
      <w:r w:rsidR="003040B8" w:rsidRPr="003040B8">
        <w:rPr>
          <w:rFonts w:cs="Arial"/>
        </w:rPr>
        <w:t>zapewni</w:t>
      </w:r>
      <w:r w:rsidR="00504A55">
        <w:rPr>
          <w:rFonts w:cs="Arial"/>
        </w:rPr>
        <w:t>ają</w:t>
      </w:r>
      <w:r w:rsidR="003040B8" w:rsidRPr="003040B8">
        <w:rPr>
          <w:rFonts w:cs="Arial"/>
        </w:rPr>
        <w:t xml:space="preserve"> prawidłowe i rzetelne wywiązywanie się z obowiązków </w:t>
      </w:r>
      <w:r w:rsidR="00532F92">
        <w:rPr>
          <w:rFonts w:cs="Arial"/>
        </w:rPr>
        <w:t xml:space="preserve">podatkowych </w:t>
      </w:r>
      <w:r w:rsidR="003040B8" w:rsidRPr="003040B8">
        <w:rPr>
          <w:rFonts w:cs="Arial"/>
        </w:rPr>
        <w:t>w sposób uwzględniający strukturę organizacyjną Spółki</w:t>
      </w:r>
      <w:r w:rsidR="001350E4">
        <w:rPr>
          <w:rFonts w:cs="Arial"/>
        </w:rPr>
        <w:t>.</w:t>
      </w:r>
      <w:r w:rsidR="003B6566">
        <w:rPr>
          <w:rFonts w:cs="Arial"/>
        </w:rPr>
        <w:t xml:space="preserve"> </w:t>
      </w:r>
    </w:p>
    <w:p w14:paraId="501AB69D" w14:textId="45E023FD" w:rsidR="00434A07" w:rsidRDefault="00434A07" w:rsidP="00434A07">
      <w:pPr>
        <w:spacing w:line="240" w:lineRule="auto"/>
        <w:rPr>
          <w:spacing w:val="-1"/>
        </w:rPr>
      </w:pPr>
      <w:r>
        <w:rPr>
          <w:rFonts w:cs="Arial"/>
        </w:rPr>
        <w:t>Procesy i procedury dot. w</w:t>
      </w:r>
      <w:r>
        <w:t> </w:t>
      </w:r>
      <w:r>
        <w:rPr>
          <w:rFonts w:cs="Arial"/>
        </w:rPr>
        <w:t xml:space="preserve">szczególności: obszaru rachunkowości, w tym obiegu dokumentów, weryfikacji kontrahentów, zasad sporządzenia deklaracji rocznej CIT, przygotowania rozliczenia VAT w postaci JPK, zasad związanych z identyfikacją i </w:t>
      </w:r>
      <w:r>
        <w:rPr>
          <w:spacing w:val="-1"/>
        </w:rPr>
        <w:t>przekazywaniem informacji o schematach podatkowych.</w:t>
      </w:r>
    </w:p>
    <w:p w14:paraId="532EE946" w14:textId="48DB773C" w:rsidR="001A7BC4" w:rsidRPr="00010434" w:rsidRDefault="00434A07" w:rsidP="00F62AFA">
      <w:pPr>
        <w:spacing w:line="240" w:lineRule="auto"/>
        <w:rPr>
          <w:rFonts w:cs="Arial"/>
        </w:rPr>
      </w:pPr>
      <w:r>
        <w:rPr>
          <w:spacing w:val="-1"/>
        </w:rPr>
        <w:t xml:space="preserve">Część procesów funkcjonujących w Spółce jest uwarunkowana zasadami wynikającymi ze stosowanego oprogramowania księgowego. </w:t>
      </w:r>
    </w:p>
    <w:p w14:paraId="2E4F61EC" w14:textId="0D910E03" w:rsidR="004875E0" w:rsidRDefault="004875E0" w:rsidP="007D3184">
      <w:pPr>
        <w:pStyle w:val="Heading2"/>
        <w:numPr>
          <w:ilvl w:val="0"/>
          <w:numId w:val="7"/>
        </w:numPr>
        <w:spacing w:line="240" w:lineRule="auto"/>
      </w:pPr>
      <w:bookmarkStart w:id="11" w:name="_Toc72139928"/>
      <w:r>
        <w:lastRenderedPageBreak/>
        <w:t>Informacje</w:t>
      </w:r>
      <w:r w:rsidR="000F78CF">
        <w:t xml:space="preserve"> o </w:t>
      </w:r>
      <w:r>
        <w:t>stosowanych przez podatnika dobrowolnych formach współpracy</w:t>
      </w:r>
      <w:r w:rsidR="000F78CF">
        <w:t xml:space="preserve"> z </w:t>
      </w:r>
      <w:r>
        <w:t>organami Krajowej Administracji Skarbowej</w:t>
      </w:r>
      <w:bookmarkEnd w:id="11"/>
    </w:p>
    <w:p w14:paraId="366C63A4" w14:textId="448E14F3" w:rsidR="004875E0" w:rsidRDefault="004875E0" w:rsidP="000F78CF">
      <w:pPr>
        <w:spacing w:line="240" w:lineRule="auto"/>
      </w:pPr>
      <w:r>
        <w:t>W roku podatkowym 202</w:t>
      </w:r>
      <w:r w:rsidR="005456BC">
        <w:t>2</w:t>
      </w:r>
      <w:r>
        <w:t xml:space="preserve"> Spółka nie zawarła</w:t>
      </w:r>
      <w:r w:rsidR="000F78CF">
        <w:t xml:space="preserve"> z </w:t>
      </w:r>
      <w:r>
        <w:t>Szefem Krajowej Administracji Skarbowej umowy</w:t>
      </w:r>
      <w:r w:rsidR="000F78CF">
        <w:t xml:space="preserve"> o </w:t>
      </w:r>
      <w:r>
        <w:t>współdziałanie,</w:t>
      </w:r>
      <w:r w:rsidR="000F78CF">
        <w:t xml:space="preserve"> o </w:t>
      </w:r>
      <w:r>
        <w:t>której mowa</w:t>
      </w:r>
      <w:r w:rsidR="000F78CF">
        <w:t xml:space="preserve"> w </w:t>
      </w:r>
      <w:r>
        <w:t>art. 20s</w:t>
      </w:r>
      <w:r w:rsidR="00002987">
        <w:t xml:space="preserve"> ustawy</w:t>
      </w:r>
      <w:r w:rsidR="000F78CF">
        <w:t xml:space="preserve"> z </w:t>
      </w:r>
      <w:r w:rsidR="00002987">
        <w:t xml:space="preserve">dnia 29 sierpnia 1997 r. </w:t>
      </w:r>
      <w:r>
        <w:t>Ordynacj</w:t>
      </w:r>
      <w:r w:rsidR="00CC1417">
        <w:t xml:space="preserve">a </w:t>
      </w:r>
      <w:r w:rsidRPr="003B4AD1">
        <w:t>podatkow</w:t>
      </w:r>
      <w:r w:rsidR="00CC1417" w:rsidRPr="003B4AD1">
        <w:t>a (tj. Dz. U.</w:t>
      </w:r>
      <w:r w:rsidR="000F78CF" w:rsidRPr="003B4AD1">
        <w:t xml:space="preserve"> z </w:t>
      </w:r>
      <w:r w:rsidR="00CC1417" w:rsidRPr="003B4AD1">
        <w:t>202</w:t>
      </w:r>
      <w:r w:rsidR="003B357D" w:rsidRPr="005A661E">
        <w:t>2</w:t>
      </w:r>
      <w:r w:rsidR="00CC1417" w:rsidRPr="003B4AD1">
        <w:t xml:space="preserve"> r. poz. </w:t>
      </w:r>
      <w:r w:rsidR="00203AA1" w:rsidRPr="003B4AD1">
        <w:t>2</w:t>
      </w:r>
      <w:r w:rsidR="003B357D" w:rsidRPr="005A661E">
        <w:t>651</w:t>
      </w:r>
      <w:r w:rsidR="000F78CF" w:rsidRPr="003B4AD1">
        <w:t xml:space="preserve"> z </w:t>
      </w:r>
      <w:proofErr w:type="spellStart"/>
      <w:r w:rsidR="001A78BD" w:rsidRPr="003B4AD1">
        <w:t>późn</w:t>
      </w:r>
      <w:proofErr w:type="spellEnd"/>
      <w:r w:rsidR="001A78BD" w:rsidRPr="003B4AD1">
        <w:t>. zm.</w:t>
      </w:r>
      <w:r w:rsidR="0093069E" w:rsidRPr="003B4AD1">
        <w:t>; dalej: „</w:t>
      </w:r>
      <w:r w:rsidR="0093069E" w:rsidRPr="003B4AD1">
        <w:rPr>
          <w:b/>
          <w:bCs/>
        </w:rPr>
        <w:t>Ordynacja podatkowa</w:t>
      </w:r>
      <w:r w:rsidR="0093069E" w:rsidRPr="003B4AD1">
        <w:t>”</w:t>
      </w:r>
      <w:r w:rsidR="001A78BD" w:rsidRPr="003B4AD1">
        <w:t xml:space="preserve">) </w:t>
      </w:r>
      <w:r w:rsidRPr="003B4AD1">
        <w:t>ani uprzedniego porozumienia cenowego,</w:t>
      </w:r>
      <w:r w:rsidR="000F78CF" w:rsidRPr="003B4AD1">
        <w:t xml:space="preserve"> o </w:t>
      </w:r>
      <w:r w:rsidRPr="003B4AD1">
        <w:t>którym mowa</w:t>
      </w:r>
      <w:r w:rsidR="000F78CF" w:rsidRPr="003B4AD1">
        <w:t xml:space="preserve"> w </w:t>
      </w:r>
      <w:r w:rsidRPr="003B4AD1">
        <w:t>dziale III ustawy</w:t>
      </w:r>
      <w:r w:rsidR="000F78CF" w:rsidRPr="003B4AD1">
        <w:t xml:space="preserve"> z </w:t>
      </w:r>
      <w:r w:rsidRPr="003B4AD1">
        <w:t>dnia</w:t>
      </w:r>
      <w:r w:rsidR="00381CB8" w:rsidRPr="003B4AD1">
        <w:t> </w:t>
      </w:r>
      <w:r w:rsidRPr="003B4AD1">
        <w:t>16</w:t>
      </w:r>
      <w:r w:rsidR="00381CB8" w:rsidRPr="003B4AD1">
        <w:t> </w:t>
      </w:r>
      <w:r w:rsidRPr="003B4AD1">
        <w:t>października 2019 r.</w:t>
      </w:r>
      <w:r w:rsidR="000F78CF" w:rsidRPr="003B4AD1">
        <w:t xml:space="preserve"> o </w:t>
      </w:r>
      <w:r w:rsidRPr="003B4AD1">
        <w:t>rozstrzyganiu sporów dotyczących podwójnego opodatkowania oraz zawieraniu uprzednich porozumień cenowych (Dz. U.</w:t>
      </w:r>
      <w:r w:rsidR="00987AE7" w:rsidRPr="003B4AD1">
        <w:t xml:space="preserve"> z 20</w:t>
      </w:r>
      <w:r w:rsidR="003B4AD1" w:rsidRPr="005A661E">
        <w:t>19</w:t>
      </w:r>
      <w:r w:rsidR="00987AE7" w:rsidRPr="003B4AD1">
        <w:t xml:space="preserve"> r.</w:t>
      </w:r>
      <w:r w:rsidRPr="003B4AD1">
        <w:t xml:space="preserve"> poz. </w:t>
      </w:r>
      <w:r w:rsidR="003B4AD1" w:rsidRPr="003B4AD1">
        <w:t>2200</w:t>
      </w:r>
      <w:r w:rsidRPr="003B4AD1">
        <w:t>).</w:t>
      </w:r>
      <w:r>
        <w:t xml:space="preserve"> </w:t>
      </w:r>
    </w:p>
    <w:p w14:paraId="77375A4C" w14:textId="7357CE9E" w:rsidR="004875E0" w:rsidRDefault="00C036CC" w:rsidP="000F78CF">
      <w:pPr>
        <w:spacing w:line="240" w:lineRule="auto"/>
      </w:pPr>
      <w:r>
        <w:t>Niemniej,</w:t>
      </w:r>
      <w:r w:rsidR="004875E0">
        <w:t xml:space="preserve"> Spółka podejmuje wszelkie niezbędne formy współpracy</w:t>
      </w:r>
      <w:r w:rsidR="000F78CF">
        <w:t xml:space="preserve"> z </w:t>
      </w:r>
      <w:r w:rsidR="004875E0">
        <w:t>organami podatkowymi</w:t>
      </w:r>
      <w:r w:rsidR="000F78CF">
        <w:t xml:space="preserve"> w </w:t>
      </w:r>
      <w:r w:rsidR="004875E0">
        <w:t xml:space="preserve">celu należytego wywiązywania się ze swoich obowiązków </w:t>
      </w:r>
      <w:r w:rsidR="004875E0" w:rsidRPr="00E56CEE">
        <w:t>wynikających</w:t>
      </w:r>
      <w:r w:rsidR="000F78CF">
        <w:t xml:space="preserve"> </w:t>
      </w:r>
      <w:r w:rsidR="000F78CF" w:rsidRPr="00E56CEE">
        <w:t>z</w:t>
      </w:r>
      <w:r w:rsidR="000F78CF">
        <w:t> </w:t>
      </w:r>
      <w:r w:rsidR="004875E0" w:rsidRPr="00E56CEE">
        <w:t>przepisów prawa podatkowego</w:t>
      </w:r>
      <w:r w:rsidR="004875E0">
        <w:t>.</w:t>
      </w:r>
    </w:p>
    <w:p w14:paraId="31288CB9" w14:textId="69B4C1B8" w:rsidR="004875E0" w:rsidRDefault="004875E0" w:rsidP="000F78CF">
      <w:pPr>
        <w:pStyle w:val="Heading1"/>
        <w:spacing w:line="240" w:lineRule="auto"/>
      </w:pPr>
      <w:bookmarkStart w:id="12" w:name="_Toc72139929"/>
      <w:r>
        <w:t xml:space="preserve">Informacje </w:t>
      </w:r>
      <w:proofErr w:type="gramStart"/>
      <w:r>
        <w:t>odnośnie</w:t>
      </w:r>
      <w:proofErr w:type="gramEnd"/>
      <w:r>
        <w:t xml:space="preserve"> realizacji przez podatnika obowiązków podatkowych na terytorium Rzeczypospolitej Polskiej wraz</w:t>
      </w:r>
      <w:r w:rsidR="000F78CF">
        <w:t xml:space="preserve"> z </w:t>
      </w:r>
      <w:r>
        <w:t>informacją</w:t>
      </w:r>
      <w:r w:rsidR="000F78CF">
        <w:t xml:space="preserve"> o </w:t>
      </w:r>
      <w:r>
        <w:t>liczbie przekazanych Szefowi Krajowej Administracji Skarbowej informacji</w:t>
      </w:r>
      <w:r w:rsidR="000F78CF">
        <w:t xml:space="preserve"> o </w:t>
      </w:r>
      <w:r>
        <w:t>schematach podatkowych,</w:t>
      </w:r>
      <w:r w:rsidR="000F78CF">
        <w:t xml:space="preserve"> z </w:t>
      </w:r>
      <w:r>
        <w:t>podziałem na podatki, których dotyczą</w:t>
      </w:r>
      <w:bookmarkEnd w:id="12"/>
      <w:r>
        <w:t xml:space="preserve"> </w:t>
      </w:r>
    </w:p>
    <w:p w14:paraId="7BAB5E2F" w14:textId="77777777" w:rsidR="004875E0" w:rsidRDefault="004875E0" w:rsidP="007D3184">
      <w:pPr>
        <w:pStyle w:val="Heading2"/>
        <w:numPr>
          <w:ilvl w:val="0"/>
          <w:numId w:val="9"/>
        </w:numPr>
        <w:spacing w:line="240" w:lineRule="auto"/>
      </w:pPr>
      <w:bookmarkStart w:id="13" w:name="_Toc72139930"/>
      <w:r>
        <w:t xml:space="preserve">Informacje </w:t>
      </w:r>
      <w:proofErr w:type="gramStart"/>
      <w:r>
        <w:t>odnośnie</w:t>
      </w:r>
      <w:proofErr w:type="gramEnd"/>
      <w:r>
        <w:t xml:space="preserve"> realizacji przez podatnika obowiązków podatkowych</w:t>
      </w:r>
      <w:bookmarkEnd w:id="13"/>
    </w:p>
    <w:p w14:paraId="78492E20" w14:textId="3E7B8F28" w:rsidR="004875E0" w:rsidRDefault="004875E0" w:rsidP="000F78CF">
      <w:pPr>
        <w:spacing w:line="240" w:lineRule="auto"/>
      </w:pPr>
      <w:r>
        <w:t>Spółka podejmuje niezbędne środki</w:t>
      </w:r>
      <w:r w:rsidR="000F78CF">
        <w:t xml:space="preserve"> w </w:t>
      </w:r>
      <w:r>
        <w:t>celu prawidłowego oraz terminowego</w:t>
      </w:r>
      <w:r w:rsidRPr="009752A7">
        <w:t xml:space="preserve"> wywiązywania się</w:t>
      </w:r>
      <w:r w:rsidR="000F78CF">
        <w:t xml:space="preserve"> </w:t>
      </w:r>
      <w:r w:rsidR="000F78CF" w:rsidRPr="009752A7">
        <w:t>z</w:t>
      </w:r>
      <w:r w:rsidR="000F78CF">
        <w:t> </w:t>
      </w:r>
      <w:r w:rsidRPr="009752A7">
        <w:t>obowiązków wynikających</w:t>
      </w:r>
      <w:r w:rsidR="000F78CF">
        <w:t xml:space="preserve"> </w:t>
      </w:r>
      <w:r w:rsidR="000F78CF" w:rsidRPr="009752A7">
        <w:t>z</w:t>
      </w:r>
      <w:r w:rsidR="000F78CF">
        <w:t> </w:t>
      </w:r>
      <w:r w:rsidRPr="009752A7">
        <w:t>przepisów prawa podatkowego</w:t>
      </w:r>
      <w:r>
        <w:t xml:space="preserve"> na terytorium Rzeczpospolitej Polskiej,</w:t>
      </w:r>
      <w:r w:rsidR="000F78CF">
        <w:t xml:space="preserve"> w </w:t>
      </w:r>
      <w:r>
        <w:t>szczególności:</w:t>
      </w:r>
    </w:p>
    <w:p w14:paraId="2A7B87F9" w14:textId="77777777" w:rsidR="004875E0" w:rsidRDefault="004875E0" w:rsidP="007D3184">
      <w:pPr>
        <w:pStyle w:val="ListParagraph"/>
        <w:numPr>
          <w:ilvl w:val="0"/>
          <w:numId w:val="12"/>
        </w:numPr>
        <w:spacing w:line="240" w:lineRule="auto"/>
        <w:contextualSpacing w:val="0"/>
      </w:pPr>
      <w:r>
        <w:t>identyfikuje zdarzenia, które powodują powstanie obowiązków podatkowych;</w:t>
      </w:r>
    </w:p>
    <w:p w14:paraId="601C2928" w14:textId="444636FC" w:rsidR="004875E0" w:rsidRDefault="004875E0" w:rsidP="007D3184">
      <w:pPr>
        <w:pStyle w:val="ListParagraph"/>
        <w:numPr>
          <w:ilvl w:val="0"/>
          <w:numId w:val="12"/>
        </w:numPr>
        <w:spacing w:line="240" w:lineRule="auto"/>
        <w:contextualSpacing w:val="0"/>
      </w:pPr>
      <w:r>
        <w:t>kalkuluje</w:t>
      </w:r>
      <w:r w:rsidR="000F78CF">
        <w:t xml:space="preserve"> i </w:t>
      </w:r>
      <w:r>
        <w:t>terminowo uiszcza należny podatek dochodowy</w:t>
      </w:r>
      <w:r w:rsidR="00C40CC0">
        <w:t xml:space="preserve">, </w:t>
      </w:r>
      <w:r>
        <w:t>podatek od towarów i usług</w:t>
      </w:r>
      <w:r w:rsidR="00C40CC0">
        <w:t>, podatek od nieruchomości, podatek leśny oraz podatek od środków transportowych</w:t>
      </w:r>
      <w:r w:rsidR="005F1A91">
        <w:t>;</w:t>
      </w:r>
    </w:p>
    <w:p w14:paraId="3363CB3C" w14:textId="05240100" w:rsidR="004875E0" w:rsidRDefault="004875E0" w:rsidP="007D3184">
      <w:pPr>
        <w:pStyle w:val="ListParagraph"/>
        <w:numPr>
          <w:ilvl w:val="0"/>
          <w:numId w:val="12"/>
        </w:numPr>
        <w:spacing w:line="240" w:lineRule="auto"/>
        <w:contextualSpacing w:val="0"/>
      </w:pPr>
      <w:r>
        <w:t xml:space="preserve">składa organom podatkowym właściwe </w:t>
      </w:r>
      <w:r w:rsidR="00532F92">
        <w:t xml:space="preserve">deklaracje, </w:t>
      </w:r>
      <w:r w:rsidRPr="007551BD">
        <w:t>zeznania, wykazy, zestawienia, sprawozdania oraz informacje</w:t>
      </w:r>
      <w:r>
        <w:t>, do których składania zobowiązują ją przepisy prawa podatkowego;</w:t>
      </w:r>
    </w:p>
    <w:p w14:paraId="16787F43" w14:textId="11602422" w:rsidR="004875E0" w:rsidRPr="00791376" w:rsidRDefault="00E80C45" w:rsidP="007D3184">
      <w:pPr>
        <w:pStyle w:val="ListParagraph"/>
        <w:numPr>
          <w:ilvl w:val="0"/>
          <w:numId w:val="12"/>
        </w:numPr>
        <w:spacing w:line="240" w:lineRule="auto"/>
        <w:contextualSpacing w:val="0"/>
      </w:pPr>
      <w:r>
        <w:t>dokonuje transakcji z podmiotami powiązanymi na warunkach rynkowych</w:t>
      </w:r>
      <w:r w:rsidR="00D641DC">
        <w:t xml:space="preserve">, a także </w:t>
      </w:r>
      <w:r w:rsidR="009C5AE4">
        <w:t>przygotowuje</w:t>
      </w:r>
      <w:r w:rsidR="00D641DC">
        <w:t xml:space="preserve"> </w:t>
      </w:r>
      <w:r w:rsidR="000B36EE">
        <w:t>wymaganą</w:t>
      </w:r>
      <w:r w:rsidR="00D641DC">
        <w:t xml:space="preserve"> dokumentację cen transferowych</w:t>
      </w:r>
      <w:r w:rsidR="00010434">
        <w:t>;</w:t>
      </w:r>
      <w:r w:rsidR="005F1A91">
        <w:t xml:space="preserve"> </w:t>
      </w:r>
    </w:p>
    <w:p w14:paraId="27B6E53D" w14:textId="79D09939" w:rsidR="004875E0" w:rsidRDefault="004875E0" w:rsidP="007D3184">
      <w:pPr>
        <w:pStyle w:val="ListParagraph"/>
        <w:numPr>
          <w:ilvl w:val="0"/>
          <w:numId w:val="12"/>
        </w:numPr>
        <w:spacing w:line="240" w:lineRule="auto"/>
        <w:contextualSpacing w:val="0"/>
      </w:pPr>
      <w:r w:rsidRPr="00BE5F6A">
        <w:t xml:space="preserve">monitoruje </w:t>
      </w:r>
      <w:r>
        <w:t>zawierane transakcje</w:t>
      </w:r>
      <w:r w:rsidR="000F78CF">
        <w:t xml:space="preserve"> z </w:t>
      </w:r>
      <w:r>
        <w:t xml:space="preserve">perspektywy przepisów </w:t>
      </w:r>
      <w:r w:rsidRPr="00BE5F6A">
        <w:t>Ordynacji podatkowej</w:t>
      </w:r>
      <w:r>
        <w:t xml:space="preserve"> o</w:t>
      </w:r>
      <w:r w:rsidR="00B115BA">
        <w:t> </w:t>
      </w:r>
      <w:r>
        <w:t>schematach podatkowych oraz</w:t>
      </w:r>
      <w:r w:rsidR="000F78CF">
        <w:t xml:space="preserve"> </w:t>
      </w:r>
      <w:r w:rsidR="000F78CF" w:rsidRPr="00682107">
        <w:t>w</w:t>
      </w:r>
      <w:r w:rsidR="000F78CF">
        <w:t> </w:t>
      </w:r>
      <w:r>
        <w:t>przypadku</w:t>
      </w:r>
      <w:r w:rsidRPr="00682107">
        <w:t xml:space="preserve"> zidentyfikowania obowiązku jest przygotowana na </w:t>
      </w:r>
      <w:r w:rsidRPr="00280935">
        <w:t>raportowanie schematów podatkowych do Szefa Krajowej Administracji Skarbowej.</w:t>
      </w:r>
    </w:p>
    <w:p w14:paraId="6224551A" w14:textId="77777777" w:rsidR="00F31839" w:rsidRDefault="00F31839" w:rsidP="00F31839">
      <w:pPr>
        <w:spacing w:line="240" w:lineRule="auto"/>
      </w:pPr>
    </w:p>
    <w:p w14:paraId="37476BB5" w14:textId="3CD4F062" w:rsidR="00F31839" w:rsidRDefault="00F31839" w:rsidP="00F31839">
      <w:pPr>
        <w:spacing w:line="240" w:lineRule="auto"/>
      </w:pPr>
      <w:r>
        <w:t>Spółka informuje, że</w:t>
      </w:r>
      <w:r w:rsidR="00D30F71">
        <w:t xml:space="preserve"> w</w:t>
      </w:r>
      <w:r w:rsidR="002075BF">
        <w:t xml:space="preserve"> roku podatkowym</w:t>
      </w:r>
      <w:r w:rsidR="00D30F71">
        <w:t xml:space="preserve"> 2022</w:t>
      </w:r>
      <w:r w:rsidR="002075BF">
        <w:t xml:space="preserve"> </w:t>
      </w:r>
      <w:r w:rsidR="00666B49">
        <w:t>wystąpiła o wyga</w:t>
      </w:r>
      <w:r w:rsidR="002B7EFA">
        <w:t>śnięcie</w:t>
      </w:r>
      <w:r w:rsidR="00666B49">
        <w:t xml:space="preserve"> </w:t>
      </w:r>
      <w:r w:rsidR="00B003BD">
        <w:t>zezwolenia</w:t>
      </w:r>
      <w:r w:rsidR="002B7EFA">
        <w:t xml:space="preserve"> na </w:t>
      </w:r>
      <w:r w:rsidR="008E27F6">
        <w:t xml:space="preserve">prowadzenie działalności gospodarczej na terenie specjalnej strefy ekonomicznej. </w:t>
      </w:r>
      <w:r w:rsidR="00702E5E">
        <w:t xml:space="preserve">Spółka podejmuje niezbędne środki w celu prawidłowego przeprowadzenia </w:t>
      </w:r>
      <w:r w:rsidR="00A76714">
        <w:t>powyższego procesu</w:t>
      </w:r>
      <w:r w:rsidR="000759D5">
        <w:t xml:space="preserve"> i wywiązania się z obowiązków wynikających z przepisów prawa podatkowego związanych </w:t>
      </w:r>
      <w:r w:rsidR="00A76714">
        <w:t xml:space="preserve">z wyżej wymienionym zdarzeniem. </w:t>
      </w:r>
      <w:r w:rsidR="002B7EFA">
        <w:t xml:space="preserve"> </w:t>
      </w:r>
      <w:r w:rsidR="004C26FA">
        <w:t xml:space="preserve"> </w:t>
      </w:r>
    </w:p>
    <w:p w14:paraId="4EBC73CB" w14:textId="77777777" w:rsidR="00F31839" w:rsidRPr="00280935" w:rsidRDefault="00F31839" w:rsidP="005A661E">
      <w:pPr>
        <w:spacing w:line="240" w:lineRule="auto"/>
      </w:pPr>
    </w:p>
    <w:p w14:paraId="2E851BF8" w14:textId="19C67AC8" w:rsidR="004875E0" w:rsidRPr="00280935" w:rsidRDefault="004875E0" w:rsidP="000F78CF">
      <w:pPr>
        <w:spacing w:line="240" w:lineRule="auto"/>
      </w:pPr>
      <w:r w:rsidRPr="00280935">
        <w:t>W roku podatkowym 202</w:t>
      </w:r>
      <w:r w:rsidR="003936B7">
        <w:t>2</w:t>
      </w:r>
      <w:r w:rsidRPr="00280935">
        <w:t xml:space="preserve"> Spółka </w:t>
      </w:r>
      <w:r w:rsidR="00A1793B" w:rsidRPr="00280935">
        <w:t>wywiązywała się ze swoich</w:t>
      </w:r>
      <w:r w:rsidRPr="00280935">
        <w:t xml:space="preserve"> obowiązk</w:t>
      </w:r>
      <w:r w:rsidR="00A1793B" w:rsidRPr="00280935">
        <w:t>ów</w:t>
      </w:r>
      <w:r w:rsidRPr="00280935">
        <w:t xml:space="preserve"> </w:t>
      </w:r>
      <w:proofErr w:type="gramStart"/>
      <w:r w:rsidRPr="00280935">
        <w:t>podatkow</w:t>
      </w:r>
      <w:r w:rsidR="00A1793B" w:rsidRPr="00280935">
        <w:t>ych</w:t>
      </w:r>
      <w:r w:rsidRPr="00280935">
        <w:t>,</w:t>
      </w:r>
      <w:proofErr w:type="gramEnd"/>
      <w:r w:rsidRPr="00280935">
        <w:t xml:space="preserve"> jako </w:t>
      </w:r>
      <w:r w:rsidRPr="00280935">
        <w:rPr>
          <w:b/>
          <w:bCs/>
          <w:u w:val="single"/>
        </w:rPr>
        <w:t>podatnik</w:t>
      </w:r>
      <w:r w:rsidR="000F78CF" w:rsidRPr="00280935">
        <w:t xml:space="preserve"> z </w:t>
      </w:r>
      <w:r w:rsidRPr="00280935">
        <w:t>tytułu następujących podatków:</w:t>
      </w:r>
    </w:p>
    <w:p w14:paraId="438EC585" w14:textId="6445B121" w:rsidR="004875E0" w:rsidRPr="00280935" w:rsidRDefault="004875E0" w:rsidP="007D3184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 w:rsidRPr="00280935">
        <w:t>podatku dochodowego od osób prawnych;</w:t>
      </w:r>
    </w:p>
    <w:p w14:paraId="1D70282D" w14:textId="36E9F05A" w:rsidR="00FD3A95" w:rsidRDefault="004875E0" w:rsidP="007D3184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 w:rsidRPr="00280935">
        <w:t>podatku od towarów</w:t>
      </w:r>
      <w:r w:rsidR="000F78CF" w:rsidRPr="00280935">
        <w:t xml:space="preserve"> i </w:t>
      </w:r>
      <w:r w:rsidRPr="00280935">
        <w:t>usług (VAT)</w:t>
      </w:r>
      <w:r w:rsidR="00FD3A95">
        <w:t>;</w:t>
      </w:r>
    </w:p>
    <w:p w14:paraId="126867EC" w14:textId="47B66E68" w:rsidR="00FD3A95" w:rsidRDefault="00FD3A95" w:rsidP="007D3184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>podatku od nieruchomości;</w:t>
      </w:r>
    </w:p>
    <w:p w14:paraId="7EC702FB" w14:textId="77777777" w:rsidR="00FD3A95" w:rsidRDefault="00FD3A95" w:rsidP="007D3184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>podatku leśnego;</w:t>
      </w:r>
    </w:p>
    <w:p w14:paraId="42C79319" w14:textId="11F56AA2" w:rsidR="004875E0" w:rsidRPr="00280935" w:rsidRDefault="00FD3A95" w:rsidP="007D3184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lastRenderedPageBreak/>
        <w:t>podatku od środków transportowych</w:t>
      </w:r>
      <w:r w:rsidR="00E36A63">
        <w:t>.</w:t>
      </w:r>
    </w:p>
    <w:p w14:paraId="7D62FDF8" w14:textId="6E610F96" w:rsidR="004875E0" w:rsidRPr="00F058D4" w:rsidRDefault="004875E0" w:rsidP="00CD752F">
      <w:pPr>
        <w:spacing w:line="240" w:lineRule="auto"/>
      </w:pPr>
      <w:r>
        <w:t>W roku</w:t>
      </w:r>
      <w:r w:rsidRPr="00F058D4">
        <w:rPr>
          <w:b/>
          <w:bCs/>
        </w:rPr>
        <w:t xml:space="preserve"> </w:t>
      </w:r>
      <w:r w:rsidRPr="003E193F">
        <w:t>podatkowym 202</w:t>
      </w:r>
      <w:r w:rsidR="003936B7">
        <w:t>2</w:t>
      </w:r>
      <w:r w:rsidRPr="00F058D4">
        <w:rPr>
          <w:b/>
          <w:bCs/>
        </w:rPr>
        <w:t xml:space="preserve"> </w:t>
      </w:r>
      <w:r>
        <w:t xml:space="preserve">Spółka realizowała obowiązki </w:t>
      </w:r>
      <w:proofErr w:type="gramStart"/>
      <w:r>
        <w:t>podatkowe,</w:t>
      </w:r>
      <w:proofErr w:type="gramEnd"/>
      <w:r>
        <w:t xml:space="preserve"> jako </w:t>
      </w:r>
      <w:r w:rsidRPr="00F058D4">
        <w:t>płatnik</w:t>
      </w:r>
      <w:r w:rsidR="000F78CF" w:rsidRPr="00F058D4">
        <w:t xml:space="preserve"> z </w:t>
      </w:r>
      <w:r w:rsidR="00A1793B" w:rsidRPr="00F058D4">
        <w:t xml:space="preserve">tytułu </w:t>
      </w:r>
      <w:r w:rsidRPr="00F058D4">
        <w:t>następujących podatków:</w:t>
      </w:r>
    </w:p>
    <w:p w14:paraId="526A602D" w14:textId="77777777" w:rsidR="001F6B0A" w:rsidRDefault="004875E0" w:rsidP="007D3184">
      <w:pPr>
        <w:pStyle w:val="ListParagraph"/>
        <w:numPr>
          <w:ilvl w:val="0"/>
          <w:numId w:val="5"/>
        </w:numPr>
        <w:spacing w:line="240" w:lineRule="auto"/>
        <w:ind w:left="714" w:hanging="357"/>
        <w:contextualSpacing w:val="0"/>
      </w:pPr>
      <w:r w:rsidRPr="003F1ED6">
        <w:t>podatku dochodowego od osób fizycznych</w:t>
      </w:r>
      <w:r w:rsidR="001F6B0A">
        <w:t>,</w:t>
      </w:r>
    </w:p>
    <w:p w14:paraId="59B615C4" w14:textId="58D4E4F2" w:rsidR="004875E0" w:rsidRPr="003F1ED6" w:rsidRDefault="001F6B0A" w:rsidP="007D3184">
      <w:pPr>
        <w:pStyle w:val="ListParagraph"/>
        <w:numPr>
          <w:ilvl w:val="0"/>
          <w:numId w:val="5"/>
        </w:numPr>
        <w:spacing w:line="240" w:lineRule="auto"/>
        <w:ind w:left="714" w:hanging="357"/>
        <w:contextualSpacing w:val="0"/>
      </w:pPr>
      <w:r>
        <w:t>podatku zryczałtowanego od dochodów uzyskiwanych przez podatników zagranicznych na terytorium RP (podatek u źródła)</w:t>
      </w:r>
      <w:r w:rsidR="002F3B08">
        <w:t>.</w:t>
      </w:r>
    </w:p>
    <w:p w14:paraId="3A4952C7" w14:textId="612E9902" w:rsidR="004875E0" w:rsidRDefault="004875E0" w:rsidP="007D3184">
      <w:pPr>
        <w:pStyle w:val="Heading2"/>
        <w:numPr>
          <w:ilvl w:val="0"/>
          <w:numId w:val="9"/>
        </w:numPr>
        <w:spacing w:line="240" w:lineRule="auto"/>
      </w:pPr>
      <w:bookmarkStart w:id="14" w:name="_Toc72139931"/>
      <w:r>
        <w:t>Informacja</w:t>
      </w:r>
      <w:r w:rsidR="000F78CF">
        <w:t xml:space="preserve"> o </w:t>
      </w:r>
      <w:r>
        <w:t>liczbie przekazanych Szefowi Krajowej Administracji Skarbowej informacji</w:t>
      </w:r>
      <w:r w:rsidR="000F78CF">
        <w:t xml:space="preserve"> o </w:t>
      </w:r>
      <w:r>
        <w:t>schematach podatkowych</w:t>
      </w:r>
      <w:bookmarkEnd w:id="14"/>
    </w:p>
    <w:p w14:paraId="36D381D3" w14:textId="1C9FF1E5" w:rsidR="008014F3" w:rsidRDefault="004875E0" w:rsidP="000F78CF">
      <w:pPr>
        <w:spacing w:after="240" w:line="240" w:lineRule="auto"/>
      </w:pPr>
      <w:r>
        <w:t>W roku</w:t>
      </w:r>
      <w:r>
        <w:rPr>
          <w:b/>
          <w:bCs/>
        </w:rPr>
        <w:t xml:space="preserve"> </w:t>
      </w:r>
      <w:r w:rsidRPr="003E193F">
        <w:t>podatkowym 202</w:t>
      </w:r>
      <w:r w:rsidR="003936B7">
        <w:t>2</w:t>
      </w:r>
      <w:r>
        <w:rPr>
          <w:b/>
          <w:bCs/>
        </w:rPr>
        <w:t xml:space="preserve"> </w:t>
      </w:r>
      <w:r>
        <w:t xml:space="preserve">Spółka </w:t>
      </w:r>
      <w:r w:rsidR="006D1696">
        <w:t xml:space="preserve">nie </w:t>
      </w:r>
      <w:r w:rsidR="008014F3">
        <w:t>przekaz</w:t>
      </w:r>
      <w:r w:rsidR="006D1696">
        <w:t>ała</w:t>
      </w:r>
      <w:r w:rsidR="006523D6">
        <w:t xml:space="preserve"> </w:t>
      </w:r>
      <w:r w:rsidR="008014F3">
        <w:t>do Szefa Krajowej Administracji Skarbowej informacj</w:t>
      </w:r>
      <w:r w:rsidR="006D1696">
        <w:t>i</w:t>
      </w:r>
      <w:r w:rsidR="000F78CF">
        <w:t xml:space="preserve"> o</w:t>
      </w:r>
      <w:r w:rsidR="00540B5A">
        <w:t xml:space="preserve"> </w:t>
      </w:r>
      <w:r w:rsidR="00ED6E6E">
        <w:t>schema</w:t>
      </w:r>
      <w:r w:rsidR="006D1696">
        <w:t>tach</w:t>
      </w:r>
      <w:r w:rsidR="00ED6E6E">
        <w:t xml:space="preserve"> podatkowy</w:t>
      </w:r>
      <w:r w:rsidR="006D1696">
        <w:t>ch.</w:t>
      </w:r>
      <w:r w:rsidR="009016BE">
        <w:t xml:space="preserve"> </w:t>
      </w:r>
    </w:p>
    <w:p w14:paraId="5FEE4246" w14:textId="46C563C3" w:rsidR="004875E0" w:rsidRPr="00E56CEE" w:rsidRDefault="004875E0" w:rsidP="000F78CF">
      <w:pPr>
        <w:pStyle w:val="Heading1"/>
        <w:spacing w:before="360" w:line="240" w:lineRule="auto"/>
      </w:pPr>
      <w:bookmarkStart w:id="15" w:name="_Toc52890281"/>
      <w:bookmarkStart w:id="16" w:name="_Toc52891469"/>
      <w:bookmarkStart w:id="17" w:name="_Toc72139932"/>
      <w:bookmarkEnd w:id="15"/>
      <w:bookmarkEnd w:id="16"/>
      <w:r w:rsidRPr="00E56CEE">
        <w:t>Informacje</w:t>
      </w:r>
      <w:r w:rsidR="000F78CF">
        <w:t xml:space="preserve"> </w:t>
      </w:r>
      <w:r w:rsidR="000F78CF" w:rsidRPr="00E56CEE">
        <w:t>o</w:t>
      </w:r>
      <w:r w:rsidR="000F78CF">
        <w:t> </w:t>
      </w:r>
      <w:r w:rsidRPr="00E56CEE">
        <w:t>transakcjach</w:t>
      </w:r>
      <w:r w:rsidR="000F78CF">
        <w:t xml:space="preserve"> </w:t>
      </w:r>
      <w:r w:rsidR="000F78CF" w:rsidRPr="00E56CEE">
        <w:t>z</w:t>
      </w:r>
      <w:r w:rsidR="000F78CF">
        <w:t> </w:t>
      </w:r>
      <w:r w:rsidRPr="00E56CEE">
        <w:t xml:space="preserve">podmiotami powiązanymi </w:t>
      </w:r>
      <w:r w:rsidRPr="00E56CEE">
        <w:rPr>
          <w:rFonts w:cs="Arial"/>
        </w:rPr>
        <w:t>lub podejmowanych przez podatnika działaniach restrukturyzacyjnych</w:t>
      </w:r>
      <w:bookmarkEnd w:id="17"/>
    </w:p>
    <w:p w14:paraId="52716FC4" w14:textId="23D9D503" w:rsidR="004875E0" w:rsidRDefault="004875E0" w:rsidP="000F78CF">
      <w:pPr>
        <w:pStyle w:val="Heading2"/>
        <w:spacing w:line="240" w:lineRule="auto"/>
      </w:pPr>
      <w:bookmarkStart w:id="18" w:name="_Toc72139933"/>
      <w:r w:rsidRPr="00E56CEE">
        <w:t>Informacje</w:t>
      </w:r>
      <w:r w:rsidR="000F78CF">
        <w:t xml:space="preserve"> </w:t>
      </w:r>
      <w:r w:rsidR="000F78CF" w:rsidRPr="00E56CEE">
        <w:t>o</w:t>
      </w:r>
      <w:r w:rsidR="000F78CF">
        <w:t> </w:t>
      </w:r>
      <w:r w:rsidRPr="00E56CEE">
        <w:t>transakcjach</w:t>
      </w:r>
      <w:r w:rsidR="000F78CF">
        <w:t xml:space="preserve"> </w:t>
      </w:r>
      <w:r w:rsidR="000F78CF" w:rsidRPr="00E56CEE">
        <w:t>z</w:t>
      </w:r>
      <w:r w:rsidR="000F78CF">
        <w:t> </w:t>
      </w:r>
      <w:r w:rsidRPr="00E56CEE">
        <w:t>podmiotami powiązanymi</w:t>
      </w:r>
      <w:r w:rsidR="000F78CF">
        <w:t xml:space="preserve"> </w:t>
      </w:r>
      <w:r w:rsidR="000F78CF" w:rsidRPr="00E56CEE">
        <w:t>w</w:t>
      </w:r>
      <w:r w:rsidR="000F78CF">
        <w:t> </w:t>
      </w:r>
      <w:r w:rsidRPr="00E56CEE">
        <w:t>rozumieniu art. 11a ust. 1 pkt 4</w:t>
      </w:r>
      <w:r>
        <w:t xml:space="preserve"> </w:t>
      </w:r>
      <w:r w:rsidRPr="003F1ED6">
        <w:t>ustawy</w:t>
      </w:r>
      <w:r w:rsidR="000F78CF">
        <w:t xml:space="preserve"> </w:t>
      </w:r>
      <w:r w:rsidR="000F78CF" w:rsidRPr="003F1ED6">
        <w:t>o</w:t>
      </w:r>
      <w:r w:rsidR="000F78CF">
        <w:t> </w:t>
      </w:r>
      <w:r w:rsidRPr="003F1ED6">
        <w:t>podatku dochodowym od osób prawnych</w:t>
      </w:r>
      <w:r w:rsidRPr="00E56CEE">
        <w:t>, których wartość przekracza 5% sumy bilansowej aktywów</w:t>
      </w:r>
      <w:r w:rsidR="000F78CF">
        <w:t xml:space="preserve"> </w:t>
      </w:r>
      <w:r w:rsidR="000F78CF" w:rsidRPr="00E56CEE">
        <w:t>w</w:t>
      </w:r>
      <w:r w:rsidR="000F78CF">
        <w:t> </w:t>
      </w:r>
      <w:r w:rsidRPr="00E56CEE">
        <w:t>rozumieniu przepisów o</w:t>
      </w:r>
      <w:r w:rsidR="00B115BA">
        <w:t> </w:t>
      </w:r>
      <w:r w:rsidRPr="00E56CEE">
        <w:t>rachunkowości, ustalonych na podstawie ostatniego zatwierdzonego sprawozdania finansowego spółki,</w:t>
      </w:r>
      <w:r w:rsidR="000F78CF">
        <w:t xml:space="preserve"> </w:t>
      </w:r>
      <w:r w:rsidR="000F78CF" w:rsidRPr="00E56CEE">
        <w:t>w</w:t>
      </w:r>
      <w:r w:rsidR="000F78CF">
        <w:t> </w:t>
      </w:r>
      <w:r w:rsidRPr="00E56CEE">
        <w:t>tym niebędącymi polskimi rezydentami podatkowymi</w:t>
      </w:r>
      <w:bookmarkEnd w:id="18"/>
    </w:p>
    <w:p w14:paraId="1D1B4A1B" w14:textId="74820DF5" w:rsidR="00AE1E3C" w:rsidRPr="007D7DEF" w:rsidRDefault="00AE1E3C" w:rsidP="00AE1E3C">
      <w:pPr>
        <w:spacing w:line="276" w:lineRule="auto"/>
        <w:rPr>
          <w:rFonts w:cs="Arial"/>
        </w:rPr>
      </w:pPr>
      <w:r w:rsidRPr="007D7DEF">
        <w:rPr>
          <w:rFonts w:cs="Arial"/>
        </w:rPr>
        <w:t>Zgodnie ze sprawozdaniem finansowym Spółki za rok 202</w:t>
      </w:r>
      <w:r w:rsidR="001C413D">
        <w:rPr>
          <w:rFonts w:cs="Arial"/>
        </w:rPr>
        <w:t>2</w:t>
      </w:r>
      <w:r w:rsidRPr="007D7DEF">
        <w:rPr>
          <w:rFonts w:cs="Arial"/>
        </w:rPr>
        <w:t xml:space="preserve">, suma bilansowa aktywów </w:t>
      </w:r>
      <w:proofErr w:type="gramStart"/>
      <w:r w:rsidRPr="007D7DEF">
        <w:rPr>
          <w:rFonts w:cs="Arial"/>
        </w:rPr>
        <w:t>wyniosła</w:t>
      </w:r>
      <w:r w:rsidR="0084096B">
        <w:rPr>
          <w:rFonts w:cs="Arial"/>
        </w:rPr>
        <w:t xml:space="preserve">  </w:t>
      </w:r>
      <w:r w:rsidR="00CB305E">
        <w:rPr>
          <w:rFonts w:cs="Arial"/>
        </w:rPr>
        <w:t>57</w:t>
      </w:r>
      <w:r w:rsidR="00D91589">
        <w:rPr>
          <w:rFonts w:cs="Arial"/>
        </w:rPr>
        <w:t>4</w:t>
      </w:r>
      <w:proofErr w:type="gramEnd"/>
      <w:r w:rsidR="00D91589">
        <w:rPr>
          <w:rFonts w:cs="Arial"/>
        </w:rPr>
        <w:t xml:space="preserve"> 0</w:t>
      </w:r>
      <w:r w:rsidR="008C321D">
        <w:rPr>
          <w:rFonts w:cs="Arial"/>
        </w:rPr>
        <w:t>47</w:t>
      </w:r>
      <w:r w:rsidR="00FD3A95">
        <w:rPr>
          <w:rFonts w:cs="Arial"/>
        </w:rPr>
        <w:t xml:space="preserve"> </w:t>
      </w:r>
      <w:r w:rsidR="00B86AE0">
        <w:rPr>
          <w:rFonts w:cs="Arial"/>
        </w:rPr>
        <w:t>tys.</w:t>
      </w:r>
      <w:r w:rsidRPr="007D7DEF">
        <w:rPr>
          <w:rFonts w:cs="Arial"/>
        </w:rPr>
        <w:t>‬ PLN, natomiast 5% z tej kwoty wynosi</w:t>
      </w:r>
      <w:r w:rsidR="0084096B">
        <w:rPr>
          <w:rFonts w:cs="Arial"/>
        </w:rPr>
        <w:t xml:space="preserve"> </w:t>
      </w:r>
      <w:r w:rsidR="00FD3A95">
        <w:rPr>
          <w:rFonts w:cs="Arial"/>
        </w:rPr>
        <w:t>2</w:t>
      </w:r>
      <w:r w:rsidR="00A94E0D">
        <w:rPr>
          <w:rFonts w:cs="Arial"/>
        </w:rPr>
        <w:t>8</w:t>
      </w:r>
      <w:r w:rsidR="00D3233C">
        <w:rPr>
          <w:rFonts w:cs="Arial"/>
        </w:rPr>
        <w:t xml:space="preserve"> </w:t>
      </w:r>
      <w:r w:rsidR="00AE28DA">
        <w:rPr>
          <w:rFonts w:cs="Arial"/>
        </w:rPr>
        <w:t>70</w:t>
      </w:r>
      <w:r w:rsidR="00D3233C">
        <w:rPr>
          <w:rFonts w:cs="Arial"/>
        </w:rPr>
        <w:t>2</w:t>
      </w:r>
      <w:r w:rsidR="00FD3A95">
        <w:rPr>
          <w:rFonts w:cs="Arial"/>
        </w:rPr>
        <w:t> </w:t>
      </w:r>
      <w:r w:rsidR="001F6B0A">
        <w:rPr>
          <w:rFonts w:cs="Arial"/>
        </w:rPr>
        <w:t>tys.</w:t>
      </w:r>
      <w:r>
        <w:rPr>
          <w:rFonts w:cs="Arial"/>
        </w:rPr>
        <w:t xml:space="preserve"> </w:t>
      </w:r>
      <w:r w:rsidRPr="007D7DEF">
        <w:rPr>
          <w:rFonts w:cs="Arial"/>
        </w:rPr>
        <w:t>PLN</w:t>
      </w:r>
      <w:r>
        <w:rPr>
          <w:rFonts w:cs="Arial"/>
        </w:rPr>
        <w:t>,</w:t>
      </w:r>
      <w:r w:rsidRPr="007D7DEF">
        <w:rPr>
          <w:rFonts w:cs="Arial"/>
        </w:rPr>
        <w:t xml:space="preserve"> co stanowi próg raportowanych transakcji.</w:t>
      </w:r>
    </w:p>
    <w:p w14:paraId="64D9811A" w14:textId="3C5E65CB" w:rsidR="004875E0" w:rsidRDefault="004875E0" w:rsidP="000F78CF">
      <w:pPr>
        <w:spacing w:line="240" w:lineRule="auto"/>
      </w:pPr>
      <w:r>
        <w:t>W roku</w:t>
      </w:r>
      <w:r>
        <w:rPr>
          <w:b/>
          <w:bCs/>
        </w:rPr>
        <w:t xml:space="preserve"> </w:t>
      </w:r>
      <w:r w:rsidRPr="003E193F">
        <w:t>podatkowym 202</w:t>
      </w:r>
      <w:r w:rsidR="00AE28DA">
        <w:t>2</w:t>
      </w:r>
      <w:r>
        <w:rPr>
          <w:b/>
          <w:bCs/>
        </w:rPr>
        <w:t xml:space="preserve"> </w:t>
      </w:r>
      <w:r>
        <w:t>Spółka zawarła</w:t>
      </w:r>
      <w:r w:rsidR="000F78CF">
        <w:t xml:space="preserve"> z </w:t>
      </w:r>
      <w:r w:rsidRPr="00257834">
        <w:t>podmiotami powiązanymi</w:t>
      </w:r>
      <w:r>
        <w:t xml:space="preserve"> następujące transakcje, których </w:t>
      </w:r>
      <w:r w:rsidRPr="00257834">
        <w:t>wartość przekracza</w:t>
      </w:r>
      <w:r w:rsidR="00AE1E3C">
        <w:t xml:space="preserve"> wskazanej powyżej</w:t>
      </w:r>
      <w:r w:rsidRPr="00257834">
        <w:t xml:space="preserve"> 5% sumy bilansowej aktywów</w:t>
      </w:r>
      <w:r>
        <w:t>:</w:t>
      </w:r>
      <w:r w:rsidR="00CB1C0A" w:rsidRPr="00CB1C0A">
        <w:rPr>
          <w:rStyle w:val="CommentReference"/>
        </w:rPr>
        <w:t xml:space="preserve"> </w:t>
      </w:r>
    </w:p>
    <w:tbl>
      <w:tblPr>
        <w:tblStyle w:val="TableGrid"/>
        <w:tblW w:w="34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444"/>
        <w:gridCol w:w="2022"/>
      </w:tblGrid>
      <w:tr w:rsidR="00F81C06" w14:paraId="446D3CF4" w14:textId="77777777" w:rsidTr="00F81C06">
        <w:tc>
          <w:tcPr>
            <w:tcW w:w="645" w:type="pct"/>
          </w:tcPr>
          <w:p w14:paraId="073AA68E" w14:textId="77777777" w:rsidR="00F81C06" w:rsidRPr="00F5238A" w:rsidRDefault="00F81C06" w:rsidP="000F78CF">
            <w:pPr>
              <w:rPr>
                <w:b/>
                <w:bCs/>
                <w:sz w:val="20"/>
                <w:szCs w:val="20"/>
              </w:rPr>
            </w:pPr>
            <w:r w:rsidRPr="00F5238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44" w:type="pct"/>
          </w:tcPr>
          <w:p w14:paraId="70143C79" w14:textId="77777777" w:rsidR="00F81C06" w:rsidRPr="00F5238A" w:rsidRDefault="00F81C06" w:rsidP="000F78CF">
            <w:pPr>
              <w:jc w:val="center"/>
              <w:rPr>
                <w:b/>
                <w:bCs/>
                <w:sz w:val="20"/>
                <w:szCs w:val="20"/>
              </w:rPr>
            </w:pPr>
            <w:r w:rsidRPr="00F5238A">
              <w:rPr>
                <w:b/>
                <w:bCs/>
                <w:sz w:val="20"/>
                <w:szCs w:val="20"/>
              </w:rPr>
              <w:t>Transakcja</w:t>
            </w:r>
          </w:p>
        </w:tc>
        <w:tc>
          <w:tcPr>
            <w:tcW w:w="1612" w:type="pct"/>
          </w:tcPr>
          <w:p w14:paraId="5360D236" w14:textId="1685F7E1" w:rsidR="00F81C06" w:rsidRPr="00F5238A" w:rsidRDefault="00F81C06" w:rsidP="000F78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 transakcji</w:t>
            </w:r>
          </w:p>
        </w:tc>
      </w:tr>
      <w:tr w:rsidR="00F81C06" w:rsidRPr="00015F56" w14:paraId="34A92673" w14:textId="77777777" w:rsidTr="00F81C06">
        <w:trPr>
          <w:trHeight w:val="612"/>
        </w:trPr>
        <w:tc>
          <w:tcPr>
            <w:tcW w:w="645" w:type="pct"/>
          </w:tcPr>
          <w:p w14:paraId="2DC84697" w14:textId="77777777" w:rsidR="00F81C06" w:rsidRDefault="00F81C06" w:rsidP="007D3184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44" w:type="pct"/>
          </w:tcPr>
          <w:p w14:paraId="7748E28C" w14:textId="016306E0" w:rsidR="00F81C06" w:rsidRPr="00750C47" w:rsidRDefault="00F81C06" w:rsidP="00E94BF8">
            <w:pPr>
              <w:tabs>
                <w:tab w:val="left" w:pos="480"/>
                <w:tab w:val="center" w:pos="955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materiałów i towarów</w:t>
            </w:r>
          </w:p>
        </w:tc>
        <w:tc>
          <w:tcPr>
            <w:tcW w:w="1612" w:type="pct"/>
          </w:tcPr>
          <w:p w14:paraId="161EBF9A" w14:textId="209212EA" w:rsidR="00F81C06" w:rsidRPr="00DE24E4" w:rsidRDefault="005D398E" w:rsidP="00FD3A9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</w:t>
            </w:r>
            <w:r w:rsidR="00F81C06">
              <w:rPr>
                <w:sz w:val="18"/>
                <w:szCs w:val="18"/>
                <w:lang w:val="en-US"/>
              </w:rPr>
              <w:t>ierezydent</w:t>
            </w:r>
            <w:proofErr w:type="spellEnd"/>
          </w:p>
        </w:tc>
      </w:tr>
      <w:tr w:rsidR="00F81C06" w:rsidRPr="00015F56" w14:paraId="1D5BBC6A" w14:textId="4CADA938" w:rsidTr="00F81C06">
        <w:tc>
          <w:tcPr>
            <w:tcW w:w="645" w:type="pct"/>
          </w:tcPr>
          <w:p w14:paraId="5834E9C2" w14:textId="0AEA47D1" w:rsidR="00F81C06" w:rsidRPr="00B86AE0" w:rsidRDefault="00F81C06" w:rsidP="007D3184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44" w:type="pct"/>
          </w:tcPr>
          <w:p w14:paraId="00F8AB78" w14:textId="75F863D8" w:rsidR="00F81C06" w:rsidRPr="00B86AE0" w:rsidRDefault="00F81C06" w:rsidP="00AE1E3C">
            <w:pPr>
              <w:contextualSpacing/>
              <w:jc w:val="center"/>
              <w:rPr>
                <w:sz w:val="18"/>
                <w:szCs w:val="18"/>
              </w:rPr>
            </w:pPr>
            <w:r w:rsidRPr="00B86AE0">
              <w:rPr>
                <w:sz w:val="18"/>
                <w:szCs w:val="18"/>
              </w:rPr>
              <w:t>Transakcja finansowa</w:t>
            </w:r>
            <w:r>
              <w:rPr>
                <w:sz w:val="18"/>
                <w:szCs w:val="18"/>
              </w:rPr>
              <w:t xml:space="preserve"> (pożyczki)</w:t>
            </w:r>
          </w:p>
        </w:tc>
        <w:tc>
          <w:tcPr>
            <w:tcW w:w="1612" w:type="pct"/>
          </w:tcPr>
          <w:p w14:paraId="72B4CE50" w14:textId="6DE7360C" w:rsidR="00F81C06" w:rsidRPr="00B86AE0" w:rsidRDefault="005D398E" w:rsidP="000F78C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86AE0">
              <w:rPr>
                <w:sz w:val="18"/>
                <w:szCs w:val="18"/>
                <w:lang w:val="en-US"/>
              </w:rPr>
              <w:t>N</w:t>
            </w:r>
            <w:r w:rsidR="00F81C06" w:rsidRPr="00B86AE0">
              <w:rPr>
                <w:sz w:val="18"/>
                <w:szCs w:val="18"/>
                <w:lang w:val="en-US"/>
              </w:rPr>
              <w:t>ierezydent</w:t>
            </w:r>
            <w:proofErr w:type="spellEnd"/>
          </w:p>
        </w:tc>
      </w:tr>
      <w:tr w:rsidR="00C753CB" w:rsidRPr="00015F56" w14:paraId="33E2769A" w14:textId="77777777" w:rsidTr="00F81C06">
        <w:tc>
          <w:tcPr>
            <w:tcW w:w="645" w:type="pct"/>
          </w:tcPr>
          <w:p w14:paraId="319987D8" w14:textId="77777777" w:rsidR="00C753CB" w:rsidRPr="00B86AE0" w:rsidRDefault="00C753CB" w:rsidP="007D3184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744" w:type="pct"/>
          </w:tcPr>
          <w:p w14:paraId="69FD3B4A" w14:textId="16D887DA" w:rsidR="00C753CB" w:rsidRPr="00B86AE0" w:rsidRDefault="00C753CB" w:rsidP="00AE1E3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Sprzedaż produktów, materiałów i towarów</w:t>
            </w:r>
          </w:p>
        </w:tc>
        <w:tc>
          <w:tcPr>
            <w:tcW w:w="1612" w:type="pct"/>
          </w:tcPr>
          <w:p w14:paraId="32D86D36" w14:textId="42404026" w:rsidR="00C753CB" w:rsidRPr="005A661E" w:rsidRDefault="00AE6833" w:rsidP="000F78CF">
            <w:pPr>
              <w:jc w:val="center"/>
              <w:rPr>
                <w:sz w:val="18"/>
                <w:szCs w:val="18"/>
              </w:rPr>
            </w:pPr>
            <w:proofErr w:type="spellStart"/>
            <w:r w:rsidRPr="00B86AE0">
              <w:rPr>
                <w:sz w:val="18"/>
                <w:szCs w:val="18"/>
                <w:lang w:val="en-US"/>
              </w:rPr>
              <w:t>Nierezydent</w:t>
            </w:r>
            <w:proofErr w:type="spellEnd"/>
          </w:p>
        </w:tc>
      </w:tr>
    </w:tbl>
    <w:p w14:paraId="6357F0F8" w14:textId="189BCE46" w:rsidR="004875E0" w:rsidRDefault="004875E0" w:rsidP="007D3184">
      <w:pPr>
        <w:pStyle w:val="Heading2"/>
        <w:numPr>
          <w:ilvl w:val="0"/>
          <w:numId w:val="7"/>
        </w:numPr>
        <w:spacing w:before="240" w:after="240" w:line="240" w:lineRule="auto"/>
        <w:rPr>
          <w:rFonts w:cs="Arial"/>
        </w:rPr>
      </w:pPr>
      <w:bookmarkStart w:id="19" w:name="_Toc72139934"/>
      <w:r w:rsidRPr="00E56CEE">
        <w:t>Informacje</w:t>
      </w:r>
      <w:r w:rsidR="000F78CF">
        <w:t xml:space="preserve"> </w:t>
      </w:r>
      <w:r w:rsidR="000F78CF" w:rsidRPr="00E56CEE">
        <w:t>o</w:t>
      </w:r>
      <w:r w:rsidR="000F78CF">
        <w:t> </w:t>
      </w:r>
      <w:r w:rsidRPr="00E56CEE">
        <w:t xml:space="preserve">planowanych lub podejmowanych przez podatnika działaniach restrukturyzacyjnych mogących mieć wpływ na wysokość zobowiązań </w:t>
      </w:r>
      <w:r w:rsidRPr="00E56CEE">
        <w:rPr>
          <w:rFonts w:cs="Arial"/>
        </w:rPr>
        <w:t>podatkowych podatnika lub podmiotów powiązanych</w:t>
      </w:r>
      <w:r w:rsidR="000F78CF">
        <w:rPr>
          <w:rFonts w:cs="Arial"/>
        </w:rPr>
        <w:t xml:space="preserve"> </w:t>
      </w:r>
      <w:r w:rsidR="000F78CF" w:rsidRPr="00E56CEE">
        <w:rPr>
          <w:rFonts w:cs="Arial"/>
        </w:rPr>
        <w:t>w</w:t>
      </w:r>
      <w:r w:rsidR="000F78CF">
        <w:rPr>
          <w:rFonts w:cs="Arial"/>
        </w:rPr>
        <w:t> </w:t>
      </w:r>
      <w:r w:rsidRPr="00E56CEE">
        <w:rPr>
          <w:rFonts w:cs="Arial"/>
        </w:rPr>
        <w:t>rozumieniu art. 11a ust. 1 pkt 4</w:t>
      </w:r>
      <w:bookmarkEnd w:id="19"/>
      <w:r>
        <w:rPr>
          <w:rFonts w:cs="Arial"/>
        </w:rPr>
        <w:t xml:space="preserve"> </w:t>
      </w:r>
      <w:r w:rsidRPr="003F1ED6">
        <w:t>ustawy</w:t>
      </w:r>
      <w:r w:rsidR="000F78CF">
        <w:t xml:space="preserve"> </w:t>
      </w:r>
      <w:r w:rsidR="000F78CF" w:rsidRPr="003F1ED6">
        <w:t>o</w:t>
      </w:r>
      <w:r w:rsidR="000F78CF">
        <w:t> </w:t>
      </w:r>
      <w:r w:rsidRPr="003F1ED6">
        <w:t>podatku dochodowym od osób prawnych</w:t>
      </w:r>
    </w:p>
    <w:p w14:paraId="04D98098" w14:textId="471847EF" w:rsidR="004875E0" w:rsidRPr="005A51F5" w:rsidRDefault="004875E0" w:rsidP="001F6B0A">
      <w:pPr>
        <w:spacing w:line="240" w:lineRule="auto"/>
      </w:pPr>
      <w:r>
        <w:t>W roku</w:t>
      </w:r>
      <w:r>
        <w:rPr>
          <w:b/>
          <w:bCs/>
        </w:rPr>
        <w:t xml:space="preserve"> </w:t>
      </w:r>
      <w:r w:rsidRPr="003E193F">
        <w:t>podatkowym 202</w:t>
      </w:r>
      <w:r w:rsidR="00E700D6">
        <w:t>2</w:t>
      </w:r>
      <w:r>
        <w:rPr>
          <w:b/>
          <w:bCs/>
        </w:rPr>
        <w:t xml:space="preserve"> </w:t>
      </w:r>
      <w:r>
        <w:t xml:space="preserve">Spółka nie </w:t>
      </w:r>
      <w:proofErr w:type="gramStart"/>
      <w:r>
        <w:t>planowała,</w:t>
      </w:r>
      <w:proofErr w:type="gramEnd"/>
      <w:r>
        <w:t xml:space="preserve"> ani nie podejmowała żadnych działań restrukturyzacyjnych </w:t>
      </w:r>
      <w:r w:rsidRPr="00E56CEE">
        <w:t>mogąc</w:t>
      </w:r>
      <w:r>
        <w:t xml:space="preserve">ych </w:t>
      </w:r>
      <w:r w:rsidRPr="00E56CEE">
        <w:t xml:space="preserve">mieć wpływ na wysokość zobowiązań </w:t>
      </w:r>
      <w:r w:rsidRPr="00E56CEE">
        <w:rPr>
          <w:rFonts w:cs="Arial"/>
        </w:rPr>
        <w:t xml:space="preserve">podatkowych </w:t>
      </w:r>
      <w:r>
        <w:rPr>
          <w:rFonts w:cs="Arial"/>
        </w:rPr>
        <w:t xml:space="preserve">Spółki </w:t>
      </w:r>
      <w:r w:rsidRPr="00E56CEE">
        <w:rPr>
          <w:rFonts w:cs="Arial"/>
        </w:rPr>
        <w:t>lub podmiotów powiązanych</w:t>
      </w:r>
      <w:r>
        <w:t>.</w:t>
      </w:r>
    </w:p>
    <w:p w14:paraId="2726F8C0" w14:textId="57628D0B" w:rsidR="004875E0" w:rsidRPr="00E56CEE" w:rsidRDefault="004875E0" w:rsidP="000F78CF">
      <w:pPr>
        <w:pStyle w:val="Heading1"/>
        <w:spacing w:line="240" w:lineRule="auto"/>
      </w:pPr>
      <w:bookmarkStart w:id="20" w:name="_Toc52890285"/>
      <w:bookmarkStart w:id="21" w:name="_Toc52891473"/>
      <w:bookmarkStart w:id="22" w:name="_Toc52890286"/>
      <w:bookmarkStart w:id="23" w:name="_Toc52891474"/>
      <w:bookmarkStart w:id="24" w:name="_Toc52890287"/>
      <w:bookmarkStart w:id="25" w:name="_Toc52891475"/>
      <w:bookmarkStart w:id="26" w:name="_Toc52890288"/>
      <w:bookmarkStart w:id="27" w:name="_Toc52891476"/>
      <w:bookmarkStart w:id="28" w:name="_Toc72139935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56CEE">
        <w:t>Informacje</w:t>
      </w:r>
      <w:r w:rsidR="000F78CF">
        <w:t xml:space="preserve"> </w:t>
      </w:r>
      <w:r w:rsidR="000F78CF" w:rsidRPr="00E56CEE">
        <w:t>o</w:t>
      </w:r>
      <w:r w:rsidR="000F78CF">
        <w:t> </w:t>
      </w:r>
      <w:r w:rsidRPr="00E56CEE">
        <w:t>złożonych wnioskach</w:t>
      </w:r>
      <w:bookmarkEnd w:id="28"/>
      <w:r w:rsidR="000F78CF">
        <w:t xml:space="preserve"> </w:t>
      </w:r>
    </w:p>
    <w:p w14:paraId="78A88B93" w14:textId="098C7059" w:rsidR="001F593B" w:rsidRDefault="004875E0" w:rsidP="000F78CF">
      <w:pPr>
        <w:spacing w:line="240" w:lineRule="auto"/>
      </w:pPr>
      <w:r>
        <w:t xml:space="preserve">W roku </w:t>
      </w:r>
      <w:r w:rsidRPr="003E193F">
        <w:t>podatkowym 202</w:t>
      </w:r>
      <w:r w:rsidR="00E700D6">
        <w:t>2</w:t>
      </w:r>
      <w:r>
        <w:rPr>
          <w:b/>
          <w:bCs/>
        </w:rPr>
        <w:t xml:space="preserve"> </w:t>
      </w:r>
      <w:r>
        <w:t>Spółka nie składała wniosków</w:t>
      </w:r>
      <w:r w:rsidR="000F78CF">
        <w:t xml:space="preserve"> o </w:t>
      </w:r>
      <w:r w:rsidRPr="00E56CEE">
        <w:t>wydanie</w:t>
      </w:r>
      <w:r w:rsidR="001F593B">
        <w:t>:</w:t>
      </w:r>
    </w:p>
    <w:p w14:paraId="4470E867" w14:textId="3C6F36EA" w:rsidR="001F593B" w:rsidRPr="001F593B" w:rsidRDefault="004875E0" w:rsidP="007D3184">
      <w:pPr>
        <w:pStyle w:val="ListParagraph"/>
        <w:numPr>
          <w:ilvl w:val="0"/>
          <w:numId w:val="13"/>
        </w:numPr>
        <w:spacing w:line="240" w:lineRule="auto"/>
      </w:pPr>
      <w:r w:rsidRPr="00E56CEE">
        <w:t xml:space="preserve">ogólnej </w:t>
      </w:r>
      <w:r w:rsidR="00B86AE0">
        <w:t xml:space="preserve">ani indywidualnej </w:t>
      </w:r>
      <w:r w:rsidRPr="00E56CEE">
        <w:t>interpretacji podatkowej</w:t>
      </w:r>
      <w:r w:rsidR="00E5480B">
        <w:t xml:space="preserve">, </w:t>
      </w:r>
      <w:r w:rsidR="00E5480B" w:rsidRPr="001F593B">
        <w:rPr>
          <w:rFonts w:cs="Arial"/>
          <w:bCs/>
        </w:rPr>
        <w:t>o któr</w:t>
      </w:r>
      <w:r w:rsidR="00B86AE0">
        <w:rPr>
          <w:rFonts w:cs="Arial"/>
          <w:bCs/>
        </w:rPr>
        <w:t xml:space="preserve">ych </w:t>
      </w:r>
      <w:r w:rsidR="00E5480B" w:rsidRPr="001F593B">
        <w:rPr>
          <w:rFonts w:cs="Arial"/>
          <w:bCs/>
        </w:rPr>
        <w:t xml:space="preserve">mowa w art. 14a </w:t>
      </w:r>
      <w:r w:rsidR="00B86AE0">
        <w:rPr>
          <w:rFonts w:cs="Arial"/>
          <w:bCs/>
        </w:rPr>
        <w:t>i 14b</w:t>
      </w:r>
      <w:r w:rsidR="001F593B">
        <w:rPr>
          <w:rFonts w:cs="Arial"/>
          <w:bCs/>
        </w:rPr>
        <w:t xml:space="preserve"> Ordynacji podatkowej</w:t>
      </w:r>
    </w:p>
    <w:p w14:paraId="58C7279F" w14:textId="0E04C6C1" w:rsidR="001F593B" w:rsidRPr="002A0EF1" w:rsidRDefault="001F593B" w:rsidP="007D3184">
      <w:pPr>
        <w:pStyle w:val="ListParagraph"/>
        <w:numPr>
          <w:ilvl w:val="0"/>
          <w:numId w:val="13"/>
        </w:numPr>
        <w:spacing w:line="240" w:lineRule="auto"/>
      </w:pPr>
      <w:r w:rsidRPr="00E56CEE">
        <w:lastRenderedPageBreak/>
        <w:t xml:space="preserve">wiążącej informacji </w:t>
      </w:r>
      <w:r>
        <w:t>s</w:t>
      </w:r>
      <w:r w:rsidRPr="00E56CEE">
        <w:t>tawkowej</w:t>
      </w:r>
      <w:r>
        <w:t xml:space="preserve">, </w:t>
      </w:r>
      <w:r w:rsidRPr="001F593B">
        <w:rPr>
          <w:rFonts w:cs="Arial"/>
          <w:bCs/>
        </w:rPr>
        <w:t>o której mowa w art. 42a Ustawy o podatku od towarów i</w:t>
      </w:r>
      <w:r w:rsidR="000B1679">
        <w:rPr>
          <w:rFonts w:cs="Arial"/>
          <w:bCs/>
        </w:rPr>
        <w:t> </w:t>
      </w:r>
      <w:r w:rsidRPr="001F593B">
        <w:rPr>
          <w:rFonts w:cs="Arial"/>
          <w:bCs/>
        </w:rPr>
        <w:t>usług</w:t>
      </w:r>
      <w:r w:rsidRPr="003C3154">
        <w:rPr>
          <w:rStyle w:val="FootnoteReference"/>
          <w:rFonts w:cs="Arial"/>
          <w:bCs/>
        </w:rPr>
        <w:footnoteReference w:id="1"/>
      </w:r>
      <w:r w:rsidRPr="001F593B">
        <w:rPr>
          <w:rFonts w:cs="Arial"/>
          <w:bCs/>
        </w:rPr>
        <w:t>,</w:t>
      </w:r>
    </w:p>
    <w:p w14:paraId="194201CC" w14:textId="366220C9" w:rsidR="001F593B" w:rsidRPr="00260120" w:rsidRDefault="001F593B" w:rsidP="007D3184">
      <w:pPr>
        <w:pStyle w:val="ListParagraph"/>
        <w:numPr>
          <w:ilvl w:val="0"/>
          <w:numId w:val="13"/>
        </w:numPr>
        <w:spacing w:before="0" w:after="160" w:line="276" w:lineRule="auto"/>
        <w:rPr>
          <w:rFonts w:cs="Arial"/>
          <w:bCs/>
        </w:rPr>
      </w:pPr>
      <w:r w:rsidRPr="003C3154">
        <w:rPr>
          <w:rFonts w:cs="Arial"/>
          <w:bCs/>
        </w:rPr>
        <w:t>wiążącej informacji akcyzowej, o której mowa w art.</w:t>
      </w:r>
      <w:r w:rsidR="00745CAC">
        <w:rPr>
          <w:rFonts w:cs="Arial"/>
          <w:bCs/>
        </w:rPr>
        <w:t xml:space="preserve"> </w:t>
      </w:r>
      <w:r w:rsidRPr="003C3154">
        <w:rPr>
          <w:rFonts w:cs="Arial"/>
          <w:bCs/>
        </w:rPr>
        <w:t>7d ust. 1 Ustawy o podatku akcyzowym</w:t>
      </w:r>
      <w:r w:rsidRPr="003C3154">
        <w:rPr>
          <w:rStyle w:val="FootnoteReference"/>
          <w:rFonts w:cs="Arial"/>
          <w:bCs/>
        </w:rPr>
        <w:footnoteReference w:id="2"/>
      </w:r>
      <w:r w:rsidRPr="003C3154">
        <w:rPr>
          <w:rFonts w:cs="Arial"/>
          <w:bCs/>
        </w:rPr>
        <w:t>.</w:t>
      </w:r>
      <w:bookmarkStart w:id="29" w:name="_Toc52890293"/>
      <w:bookmarkStart w:id="30" w:name="_Toc52891481"/>
      <w:bookmarkStart w:id="31" w:name="_Toc52890294"/>
      <w:bookmarkStart w:id="32" w:name="_Toc52891482"/>
      <w:bookmarkStart w:id="33" w:name="_Toc52890295"/>
      <w:bookmarkStart w:id="34" w:name="_Toc52891483"/>
      <w:bookmarkStart w:id="35" w:name="_Toc52890296"/>
      <w:bookmarkStart w:id="36" w:name="_Toc52891484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34F8D1E8" w14:textId="09212AF7" w:rsidR="004875E0" w:rsidRPr="00E56CEE" w:rsidRDefault="004875E0" w:rsidP="000F78CF">
      <w:pPr>
        <w:pStyle w:val="Heading1"/>
        <w:spacing w:line="240" w:lineRule="auto"/>
      </w:pPr>
      <w:bookmarkStart w:id="37" w:name="_Toc72139940"/>
      <w:r w:rsidRPr="00E56CEE">
        <w:t>Informacje dotyczące dokonywania rozliczeń podatkowych podatnika</w:t>
      </w:r>
      <w:r w:rsidR="000F78CF">
        <w:t xml:space="preserve"> </w:t>
      </w:r>
      <w:r w:rsidR="000F78CF" w:rsidRPr="00E56CEE">
        <w:t>w</w:t>
      </w:r>
      <w:r w:rsidR="000F78CF">
        <w:t> </w:t>
      </w:r>
      <w:r w:rsidRPr="00E56CEE">
        <w:t>krajach stosujących szkodliwą konkurencję podatkową</w:t>
      </w:r>
      <w:bookmarkEnd w:id="37"/>
      <w:r w:rsidRPr="00E56CEE">
        <w:t xml:space="preserve"> </w:t>
      </w:r>
    </w:p>
    <w:p w14:paraId="215EE6D1" w14:textId="77777777" w:rsidR="005A458F" w:rsidRDefault="0052253C" w:rsidP="000F78CF">
      <w:pPr>
        <w:spacing w:line="240" w:lineRule="auto"/>
        <w:rPr>
          <w:rFonts w:cs="Arial"/>
        </w:rPr>
      </w:pPr>
      <w:r w:rsidRPr="00DB0C74">
        <w:rPr>
          <w:rFonts w:cs="Arial"/>
        </w:rPr>
        <w:t xml:space="preserve">Podmiotem dominującym w </w:t>
      </w:r>
      <w:proofErr w:type="gramStart"/>
      <w:r w:rsidRPr="00DB0C74">
        <w:rPr>
          <w:rFonts w:cs="Arial"/>
        </w:rPr>
        <w:t>grupie</w:t>
      </w:r>
      <w:proofErr w:type="gramEnd"/>
      <w:r w:rsidRPr="00DB0C74">
        <w:rPr>
          <w:rFonts w:cs="Arial"/>
        </w:rPr>
        <w:t xml:space="preserve"> w której działa Spółka jest podmiot chiński.</w:t>
      </w:r>
    </w:p>
    <w:p w14:paraId="7C72FFEB" w14:textId="3BA44502" w:rsidR="001E113E" w:rsidRPr="00DB0C74" w:rsidRDefault="001E113E" w:rsidP="000F78CF">
      <w:pPr>
        <w:spacing w:line="240" w:lineRule="auto"/>
        <w:rPr>
          <w:rFonts w:cs="Arial"/>
        </w:rPr>
      </w:pPr>
      <w:r w:rsidRPr="00DB0C74">
        <w:rPr>
          <w:rFonts w:cs="Arial"/>
        </w:rPr>
        <w:t xml:space="preserve">Spółka </w:t>
      </w:r>
      <w:r w:rsidR="00C64F0B" w:rsidRPr="00DB0C74">
        <w:rPr>
          <w:rFonts w:cs="Arial"/>
        </w:rPr>
        <w:t>zawarła z</w:t>
      </w:r>
      <w:r w:rsidRPr="00DB0C74">
        <w:rPr>
          <w:rFonts w:cs="Arial"/>
        </w:rPr>
        <w:t xml:space="preserve"> podmiot</w:t>
      </w:r>
      <w:r w:rsidR="00C64F0B" w:rsidRPr="00DB0C74">
        <w:rPr>
          <w:rFonts w:cs="Arial"/>
        </w:rPr>
        <w:t>em</w:t>
      </w:r>
      <w:r w:rsidRPr="00DB0C74">
        <w:rPr>
          <w:rFonts w:cs="Arial"/>
        </w:rPr>
        <w:t xml:space="preserve"> powiązan</w:t>
      </w:r>
      <w:r w:rsidR="00C64F0B" w:rsidRPr="00DB0C74">
        <w:rPr>
          <w:rFonts w:cs="Arial"/>
        </w:rPr>
        <w:t>ym</w:t>
      </w:r>
      <w:r w:rsidRPr="00DB0C74">
        <w:rPr>
          <w:rFonts w:cs="Arial"/>
        </w:rPr>
        <w:t xml:space="preserve"> z siedzibą w Hongkongu</w:t>
      </w:r>
      <w:r w:rsidR="00DB0C74" w:rsidRPr="00DB0C74">
        <w:rPr>
          <w:rFonts w:cs="Arial"/>
        </w:rPr>
        <w:t>,</w:t>
      </w:r>
      <w:r w:rsidRPr="00DB0C74">
        <w:rPr>
          <w:rFonts w:cs="Arial"/>
        </w:rPr>
        <w:t xml:space="preserve"> </w:t>
      </w:r>
      <w:r w:rsidR="0052253C" w:rsidRPr="00DB0C74">
        <w:rPr>
          <w:rFonts w:cs="Arial"/>
        </w:rPr>
        <w:t>specjalny</w:t>
      </w:r>
      <w:r w:rsidR="00DB0C74" w:rsidRPr="00DB0C74">
        <w:rPr>
          <w:rFonts w:cs="Arial"/>
        </w:rPr>
        <w:t>m</w:t>
      </w:r>
      <w:r w:rsidR="0052253C" w:rsidRPr="00DB0C74">
        <w:rPr>
          <w:rFonts w:cs="Arial"/>
        </w:rPr>
        <w:t xml:space="preserve"> region</w:t>
      </w:r>
      <w:r w:rsidR="00DB0C74" w:rsidRPr="00DB0C74">
        <w:rPr>
          <w:rFonts w:cs="Arial"/>
        </w:rPr>
        <w:t>ie</w:t>
      </w:r>
      <w:r w:rsidR="0052253C" w:rsidRPr="00DB0C74">
        <w:rPr>
          <w:rFonts w:cs="Arial"/>
        </w:rPr>
        <w:t xml:space="preserve"> administracyjny</w:t>
      </w:r>
      <w:r w:rsidR="00DB0C74" w:rsidRPr="00DB0C74">
        <w:rPr>
          <w:rFonts w:cs="Arial"/>
        </w:rPr>
        <w:t>m</w:t>
      </w:r>
      <w:r w:rsidR="0052253C" w:rsidRPr="00DB0C74">
        <w:rPr>
          <w:rFonts w:cs="Arial"/>
        </w:rPr>
        <w:t xml:space="preserve"> Chińskiej Republiki Ludowej</w:t>
      </w:r>
      <w:r w:rsidR="00DB0C74" w:rsidRPr="00DB0C74">
        <w:rPr>
          <w:rFonts w:cs="Arial"/>
        </w:rPr>
        <w:t>,</w:t>
      </w:r>
      <w:r w:rsidR="0052253C" w:rsidRPr="00DB0C74">
        <w:rPr>
          <w:rFonts w:cs="Arial"/>
        </w:rPr>
        <w:t xml:space="preserve"> </w:t>
      </w:r>
      <w:r w:rsidR="00C64F0B" w:rsidRPr="00DB0C74">
        <w:rPr>
          <w:rFonts w:cs="Arial"/>
        </w:rPr>
        <w:t>umow</w:t>
      </w:r>
      <w:r w:rsidR="00793019" w:rsidRPr="00DB0C74">
        <w:rPr>
          <w:rFonts w:cs="Arial"/>
        </w:rPr>
        <w:t>y</w:t>
      </w:r>
      <w:r w:rsidR="00C64F0B" w:rsidRPr="00DB0C74">
        <w:rPr>
          <w:rFonts w:cs="Arial"/>
        </w:rPr>
        <w:t xml:space="preserve"> </w:t>
      </w:r>
      <w:r w:rsidRPr="00DB0C74">
        <w:rPr>
          <w:rFonts w:cs="Arial"/>
        </w:rPr>
        <w:t>pożycz</w:t>
      </w:r>
      <w:r w:rsidR="00793019" w:rsidRPr="00DB0C74">
        <w:rPr>
          <w:rFonts w:cs="Arial"/>
        </w:rPr>
        <w:t>ek</w:t>
      </w:r>
      <w:r w:rsidR="00601F71" w:rsidRPr="00DB0C74">
        <w:rPr>
          <w:rFonts w:cs="Arial"/>
        </w:rPr>
        <w:t xml:space="preserve"> na </w:t>
      </w:r>
      <w:r w:rsidR="0052253C" w:rsidRPr="00DB0C74">
        <w:rPr>
          <w:rFonts w:cs="Arial"/>
        </w:rPr>
        <w:t xml:space="preserve">finansowanie bieżącej działalności gospodarczej. </w:t>
      </w:r>
      <w:r w:rsidR="00601F71" w:rsidRPr="00DB0C74">
        <w:rPr>
          <w:rFonts w:cs="Arial"/>
        </w:rPr>
        <w:t>W związku z</w:t>
      </w:r>
      <w:r w:rsidR="00793019" w:rsidRPr="00DB0C74">
        <w:rPr>
          <w:rFonts w:cs="Arial"/>
        </w:rPr>
        <w:t xml:space="preserve"> zawartymi</w:t>
      </w:r>
      <w:r w:rsidR="00601F71" w:rsidRPr="00DB0C74">
        <w:rPr>
          <w:rFonts w:cs="Arial"/>
        </w:rPr>
        <w:t xml:space="preserve"> umow</w:t>
      </w:r>
      <w:r w:rsidR="00793019" w:rsidRPr="00DB0C74">
        <w:rPr>
          <w:rFonts w:cs="Arial"/>
        </w:rPr>
        <w:t>ami</w:t>
      </w:r>
      <w:r w:rsidR="00601F71" w:rsidRPr="00DB0C74">
        <w:rPr>
          <w:rFonts w:cs="Arial"/>
        </w:rPr>
        <w:t xml:space="preserve"> pożycz</w:t>
      </w:r>
      <w:r w:rsidR="00793019" w:rsidRPr="00DB0C74">
        <w:rPr>
          <w:rFonts w:cs="Arial"/>
        </w:rPr>
        <w:t>e</w:t>
      </w:r>
      <w:r w:rsidR="00601F71" w:rsidRPr="00DB0C74">
        <w:rPr>
          <w:rFonts w:cs="Arial"/>
        </w:rPr>
        <w:t>k</w:t>
      </w:r>
      <w:r w:rsidR="00793019" w:rsidRPr="00DB0C74">
        <w:rPr>
          <w:rFonts w:cs="Arial"/>
        </w:rPr>
        <w:t>,</w:t>
      </w:r>
      <w:r w:rsidR="00601F71" w:rsidRPr="00DB0C74">
        <w:rPr>
          <w:rFonts w:cs="Arial"/>
        </w:rPr>
        <w:t xml:space="preserve"> Spółka nie dokonywała żadnych rozliczeń podatkowych w kraju udzielenia pożyczki.</w:t>
      </w:r>
    </w:p>
    <w:p w14:paraId="52E4B5D1" w14:textId="27F8304D" w:rsidR="000A5340" w:rsidRDefault="00A11EB1" w:rsidP="000F78CF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t>Poza wyżej opisan</w:t>
      </w:r>
      <w:r w:rsidR="00793019">
        <w:rPr>
          <w:rFonts w:cs="Arial"/>
          <w:bCs/>
        </w:rPr>
        <w:t>ymi</w:t>
      </w:r>
      <w:r>
        <w:rPr>
          <w:rFonts w:cs="Arial"/>
          <w:bCs/>
        </w:rPr>
        <w:t xml:space="preserve"> umow</w:t>
      </w:r>
      <w:r w:rsidR="00793019">
        <w:rPr>
          <w:rFonts w:cs="Arial"/>
          <w:bCs/>
        </w:rPr>
        <w:t>ami</w:t>
      </w:r>
      <w:r>
        <w:rPr>
          <w:rFonts w:cs="Arial"/>
          <w:bCs/>
        </w:rPr>
        <w:t xml:space="preserve"> pożycz</w:t>
      </w:r>
      <w:r w:rsidR="00793019">
        <w:rPr>
          <w:rFonts w:cs="Arial"/>
          <w:bCs/>
        </w:rPr>
        <w:t>ek</w:t>
      </w:r>
      <w:r>
        <w:rPr>
          <w:rFonts w:cs="Arial"/>
          <w:bCs/>
        </w:rPr>
        <w:t>, Spółka</w:t>
      </w:r>
      <w:r w:rsidR="00C7604A">
        <w:rPr>
          <w:rFonts w:cs="Arial"/>
          <w:bCs/>
        </w:rPr>
        <w:t xml:space="preserve"> dokonywała</w:t>
      </w:r>
      <w:r w:rsidR="007F3991">
        <w:rPr>
          <w:rFonts w:cs="Arial"/>
          <w:bCs/>
        </w:rPr>
        <w:t xml:space="preserve"> również</w:t>
      </w:r>
      <w:r w:rsidR="00C7604A">
        <w:rPr>
          <w:rFonts w:cs="Arial"/>
          <w:bCs/>
        </w:rPr>
        <w:t xml:space="preserve"> inn</w:t>
      </w:r>
      <w:r w:rsidR="00CF673B">
        <w:rPr>
          <w:rFonts w:cs="Arial"/>
          <w:bCs/>
        </w:rPr>
        <w:t>ych</w:t>
      </w:r>
      <w:r w:rsidR="00C7604A">
        <w:rPr>
          <w:rFonts w:cs="Arial"/>
          <w:bCs/>
        </w:rPr>
        <w:t xml:space="preserve"> transakcj</w:t>
      </w:r>
      <w:r w:rsidR="00CF673B">
        <w:rPr>
          <w:rFonts w:cs="Arial"/>
          <w:bCs/>
        </w:rPr>
        <w:t>i</w:t>
      </w:r>
      <w:r w:rsidR="007F3991">
        <w:rPr>
          <w:rFonts w:cs="Arial"/>
          <w:bCs/>
        </w:rPr>
        <w:t xml:space="preserve"> z podmiotem powiązanym z siedzibą w Hongkongu</w:t>
      </w:r>
      <w:r w:rsidR="00E30094">
        <w:rPr>
          <w:rFonts w:cs="Arial"/>
          <w:bCs/>
        </w:rPr>
        <w:t>,</w:t>
      </w:r>
      <w:r w:rsidR="005A458F">
        <w:rPr>
          <w:rFonts w:cs="Arial"/>
          <w:bCs/>
        </w:rPr>
        <w:t xml:space="preserve"> </w:t>
      </w:r>
      <w:r w:rsidR="005A458F" w:rsidRPr="00DB0C74">
        <w:rPr>
          <w:rFonts w:cs="Arial"/>
        </w:rPr>
        <w:t>specjalnym regionie administracyjnym Chińskiej Republiki Ludowej</w:t>
      </w:r>
      <w:r w:rsidR="00C7604A">
        <w:rPr>
          <w:rFonts w:cs="Arial"/>
          <w:bCs/>
        </w:rPr>
        <w:t xml:space="preserve">: </w:t>
      </w:r>
      <w:r w:rsidR="007F3991">
        <w:rPr>
          <w:rFonts w:cs="Arial"/>
          <w:bCs/>
        </w:rPr>
        <w:t>sprzedawała maszyny i części do nich</w:t>
      </w:r>
      <w:r w:rsidR="000A5340">
        <w:rPr>
          <w:rFonts w:cs="Arial"/>
          <w:bCs/>
        </w:rPr>
        <w:t xml:space="preserve"> temu podmiotowi, oraz nabywała od niego maszyny. </w:t>
      </w:r>
      <w:r w:rsidR="007F3991">
        <w:rPr>
          <w:rFonts w:cs="Arial"/>
          <w:bCs/>
        </w:rPr>
        <w:t xml:space="preserve"> </w:t>
      </w:r>
    </w:p>
    <w:p w14:paraId="7660DB67" w14:textId="7A3F1B53" w:rsidR="00324425" w:rsidRDefault="000A5340" w:rsidP="000F78CF">
      <w:pPr>
        <w:spacing w:line="240" w:lineRule="auto"/>
        <w:rPr>
          <w:rFonts w:cs="Arial"/>
        </w:rPr>
      </w:pPr>
      <w:r>
        <w:rPr>
          <w:rFonts w:cs="Arial"/>
          <w:bCs/>
        </w:rPr>
        <w:t xml:space="preserve">Spółka </w:t>
      </w:r>
      <w:r w:rsidR="008A6CD8" w:rsidRPr="000B21A1">
        <w:rPr>
          <w:rFonts w:cs="Arial"/>
        </w:rPr>
        <w:t>nie dokonywała</w:t>
      </w:r>
      <w:r w:rsidR="00A11EB1">
        <w:rPr>
          <w:rFonts w:cs="Arial"/>
        </w:rPr>
        <w:t xml:space="preserve"> w związku z</w:t>
      </w:r>
      <w:r w:rsidR="00793019">
        <w:rPr>
          <w:rFonts w:cs="Arial"/>
        </w:rPr>
        <w:t> </w:t>
      </w:r>
      <w:r w:rsidR="00A11EB1">
        <w:rPr>
          <w:rFonts w:cs="Arial"/>
        </w:rPr>
        <w:t>innymi zawieranymi przez nią transakcjami w</w:t>
      </w:r>
      <w:r w:rsidR="00A11EB1" w:rsidRPr="000B21A1">
        <w:rPr>
          <w:rFonts w:cs="Arial"/>
          <w:bCs/>
        </w:rPr>
        <w:t xml:space="preserve"> </w:t>
      </w:r>
      <w:r w:rsidR="00A11EB1">
        <w:rPr>
          <w:rFonts w:cs="Arial"/>
          <w:bCs/>
        </w:rPr>
        <w:t>roku podatkowym 202</w:t>
      </w:r>
      <w:r>
        <w:rPr>
          <w:rFonts w:cs="Arial"/>
          <w:bCs/>
        </w:rPr>
        <w:t>2</w:t>
      </w:r>
      <w:r w:rsidR="00A11EB1" w:rsidRPr="000B21A1">
        <w:rPr>
          <w:rFonts w:cs="Arial"/>
          <w:bCs/>
        </w:rPr>
        <w:t xml:space="preserve"> </w:t>
      </w:r>
      <w:r w:rsidR="00601F71">
        <w:rPr>
          <w:rFonts w:cs="Arial"/>
        </w:rPr>
        <w:t>żadnych innych</w:t>
      </w:r>
      <w:r w:rsidR="00A11EB1">
        <w:rPr>
          <w:rFonts w:cs="Arial"/>
        </w:rPr>
        <w:t xml:space="preserve"> </w:t>
      </w:r>
      <w:r w:rsidR="008A6CD8" w:rsidRPr="000B21A1">
        <w:rPr>
          <w:rFonts w:cs="Arial"/>
        </w:rPr>
        <w:t>rozliczeń podatkowych na terytoriach lub w</w:t>
      </w:r>
      <w:r w:rsidR="008A6CD8">
        <w:rPr>
          <w:rFonts w:cs="Arial"/>
        </w:rPr>
        <w:t> </w:t>
      </w:r>
      <w:r w:rsidR="008A6CD8" w:rsidRPr="000B21A1">
        <w:rPr>
          <w:rFonts w:cs="Arial"/>
        </w:rPr>
        <w:t>krajach stosujących szkodliwą konkurencję podatkową</w:t>
      </w:r>
      <w:r w:rsidR="00793019">
        <w:rPr>
          <w:rFonts w:cs="Arial"/>
        </w:rPr>
        <w:t>,</w:t>
      </w:r>
      <w:r w:rsidR="008A6CD8" w:rsidRPr="000B21A1">
        <w:rPr>
          <w:rFonts w:cs="Arial"/>
        </w:rPr>
        <w:t xml:space="preserve"> wskazanych</w:t>
      </w:r>
      <w:r w:rsidR="000F78CF">
        <w:rPr>
          <w:rFonts w:cs="Arial"/>
        </w:rPr>
        <w:t xml:space="preserve"> </w:t>
      </w:r>
      <w:r w:rsidR="000F78CF" w:rsidRPr="000B21A1">
        <w:rPr>
          <w:rFonts w:cs="Arial"/>
        </w:rPr>
        <w:t>w</w:t>
      </w:r>
      <w:r w:rsidR="000F78CF">
        <w:rPr>
          <w:rFonts w:cs="Arial"/>
        </w:rPr>
        <w:t> </w:t>
      </w:r>
      <w:r w:rsidR="008A6CD8" w:rsidRPr="000B21A1">
        <w:rPr>
          <w:rFonts w:cs="Arial"/>
        </w:rPr>
        <w:t>aktach wykonawczych wydanych na podstawie art. 11j ust. 2 Ustawy CIT oraz</w:t>
      </w:r>
      <w:r w:rsidR="000F78CF">
        <w:rPr>
          <w:rFonts w:cs="Arial"/>
        </w:rPr>
        <w:t xml:space="preserve"> </w:t>
      </w:r>
      <w:r w:rsidR="000F78CF" w:rsidRPr="000B21A1">
        <w:rPr>
          <w:rFonts w:cs="Arial"/>
        </w:rPr>
        <w:t>w</w:t>
      </w:r>
      <w:r w:rsidR="000F78CF">
        <w:rPr>
          <w:rFonts w:cs="Arial"/>
        </w:rPr>
        <w:t> </w:t>
      </w:r>
      <w:r w:rsidR="008A6CD8" w:rsidRPr="000B21A1">
        <w:rPr>
          <w:rFonts w:cs="Arial"/>
        </w:rPr>
        <w:t>obwieszczeniu ministra właściwego do spraw finansów publicznych wydanym na podstawie art. 86a § 10 Ordynacji</w:t>
      </w:r>
      <w:r w:rsidR="00411966">
        <w:rPr>
          <w:rFonts w:cs="Arial"/>
        </w:rPr>
        <w:t xml:space="preserve"> podatkowej</w:t>
      </w:r>
      <w:r w:rsidR="008A6CD8" w:rsidRPr="000B21A1">
        <w:rPr>
          <w:rFonts w:cs="Arial"/>
        </w:rPr>
        <w:t>.</w:t>
      </w:r>
      <w:r w:rsidR="008A6CD8" w:rsidRPr="003C3154">
        <w:rPr>
          <w:rFonts w:cs="Arial"/>
        </w:rPr>
        <w:t xml:space="preserve"> </w:t>
      </w:r>
    </w:p>
    <w:p w14:paraId="33E97336" w14:textId="007196D2" w:rsidR="00CA3B2B" w:rsidRPr="008A6CD8" w:rsidRDefault="00CA3B2B" w:rsidP="000F78CF">
      <w:pPr>
        <w:spacing w:line="240" w:lineRule="auto"/>
        <w:rPr>
          <w:rFonts w:cs="Arial"/>
          <w:bCs/>
        </w:rPr>
      </w:pPr>
    </w:p>
    <w:sectPr w:rsidR="00CA3B2B" w:rsidRPr="008A6CD8" w:rsidSect="00112C33"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1CE9" w14:textId="77777777" w:rsidR="003D3903" w:rsidRDefault="003D3903">
      <w:pPr>
        <w:spacing w:before="0" w:after="0" w:line="240" w:lineRule="auto"/>
      </w:pPr>
      <w:r>
        <w:separator/>
      </w:r>
    </w:p>
  </w:endnote>
  <w:endnote w:type="continuationSeparator" w:id="0">
    <w:p w14:paraId="1F9B586B" w14:textId="77777777" w:rsidR="003D3903" w:rsidRDefault="003D39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PMG Light">
    <w:panose1 w:val="020B0403030202040204"/>
    <w:charset w:val="EE"/>
    <w:family w:val="swiss"/>
    <w:pitch w:val="variable"/>
    <w:sig w:usb0="00000287" w:usb1="00000000" w:usb2="00000000" w:usb3="00000000" w:csb0="0000009F" w:csb1="00000000"/>
  </w:font>
  <w:font w:name="Univers for KPMG Light">
    <w:altName w:val="Corbel"/>
    <w:charset w:val="EE"/>
    <w:family w:val="swiss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7A39" w14:textId="0157A837" w:rsidR="006C7E44" w:rsidRDefault="00CC4EF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ADCF32A" wp14:editId="268B2AA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36664f3c94c5b908714dc4ed" descr="{&quot;HashCode&quot;:-134764357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ABDD67" w14:textId="2679BBB8" w:rsidR="00CC4EF7" w:rsidRPr="00604BE2" w:rsidRDefault="00CC4EF7" w:rsidP="00CC4EF7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737373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CF32A" id="_x0000_t202" coordsize="21600,21600" o:spt="202" path="m,l,21600r21600,l21600,xe">
              <v:stroke joinstyle="miter"/>
              <v:path gradientshapeok="t" o:connecttype="rect"/>
            </v:shapetype>
            <v:shape id="MSIPCM36664f3c94c5b908714dc4ed" o:spid="_x0000_s1026" type="#_x0000_t202" alt="{&quot;HashCode&quot;:-1347643576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4AABDD67" w14:textId="2679BBB8" w:rsidR="00CC4EF7" w:rsidRPr="00604BE2" w:rsidRDefault="00CC4EF7" w:rsidP="00CC4EF7">
                    <w:pPr>
                      <w:spacing w:before="0" w:after="0"/>
                      <w:jc w:val="center"/>
                      <w:rPr>
                        <w:rFonts w:cs="Arial"/>
                        <w:color w:val="737373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6174807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7E44">
          <w:fldChar w:fldCharType="begin"/>
        </w:r>
        <w:r w:rsidR="006C7E44">
          <w:instrText xml:space="preserve"> PAGE   \* MERGEFORMAT </w:instrText>
        </w:r>
        <w:r w:rsidR="006C7E44">
          <w:fldChar w:fldCharType="separate"/>
        </w:r>
        <w:r w:rsidR="005D49F6">
          <w:rPr>
            <w:noProof/>
          </w:rPr>
          <w:t>5</w:t>
        </w:r>
        <w:r w:rsidR="006C7E44">
          <w:rPr>
            <w:noProof/>
          </w:rPr>
          <w:fldChar w:fldCharType="end"/>
        </w:r>
      </w:sdtContent>
    </w:sdt>
  </w:p>
  <w:p w14:paraId="697CAB74" w14:textId="77777777" w:rsidR="006C7E44" w:rsidRDefault="006C7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083A" w14:textId="12684848" w:rsidR="00CC4EF7" w:rsidRDefault="00CC4E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5A9BC69" wp14:editId="7EEC153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fc6f40689dde34ebcc342079" descr="{&quot;HashCode&quot;:-134764357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094568" w14:textId="3BBBA242" w:rsidR="00CC4EF7" w:rsidRPr="00604BE2" w:rsidRDefault="00CC4EF7" w:rsidP="00CC4EF7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737373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9BC69" id="_x0000_t202" coordsize="21600,21600" o:spt="202" path="m,l,21600r21600,l21600,xe">
              <v:stroke joinstyle="miter"/>
              <v:path gradientshapeok="t" o:connecttype="rect"/>
            </v:shapetype>
            <v:shape id="MSIPCMfc6f40689dde34ebcc342079" o:spid="_x0000_s1027" type="#_x0000_t202" alt="{&quot;HashCode&quot;:-1347643576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43094568" w14:textId="3BBBA242" w:rsidR="00CC4EF7" w:rsidRPr="00604BE2" w:rsidRDefault="00CC4EF7" w:rsidP="00CC4EF7">
                    <w:pPr>
                      <w:spacing w:before="0" w:after="0"/>
                      <w:jc w:val="center"/>
                      <w:rPr>
                        <w:rFonts w:cs="Arial"/>
                        <w:color w:val="737373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F69D" w14:textId="77777777" w:rsidR="003D3903" w:rsidRDefault="003D3903">
      <w:pPr>
        <w:spacing w:before="0" w:after="0" w:line="240" w:lineRule="auto"/>
      </w:pPr>
      <w:r>
        <w:separator/>
      </w:r>
    </w:p>
  </w:footnote>
  <w:footnote w:type="continuationSeparator" w:id="0">
    <w:p w14:paraId="4B3F5037" w14:textId="77777777" w:rsidR="003D3903" w:rsidRDefault="003D3903">
      <w:pPr>
        <w:spacing w:before="0" w:after="0" w:line="240" w:lineRule="auto"/>
      </w:pPr>
      <w:r>
        <w:continuationSeparator/>
      </w:r>
    </w:p>
  </w:footnote>
  <w:footnote w:id="1">
    <w:p w14:paraId="6B47F466" w14:textId="79E13DAA" w:rsidR="001F593B" w:rsidRPr="00D555C7" w:rsidRDefault="001F593B" w:rsidP="001F593B">
      <w:pPr>
        <w:pStyle w:val="FootnoteText"/>
        <w:rPr>
          <w:rFonts w:ascii="Univers for KPMG Light" w:hAnsi="Univers for KPMG Light"/>
          <w:sz w:val="18"/>
          <w:szCs w:val="18"/>
        </w:rPr>
      </w:pPr>
      <w:r w:rsidRPr="00EC4BD4">
        <w:rPr>
          <w:rStyle w:val="FootnoteReference"/>
          <w:rFonts w:ascii="Univers for KPMG Light" w:hAnsi="Univers for KPMG Light"/>
          <w:sz w:val="18"/>
          <w:szCs w:val="18"/>
        </w:rPr>
        <w:footnoteRef/>
      </w:r>
      <w:r w:rsidRPr="00EC4BD4">
        <w:rPr>
          <w:rFonts w:ascii="Univers for KPMG Light" w:hAnsi="Univers for KPMG Light"/>
          <w:sz w:val="18"/>
          <w:szCs w:val="18"/>
        </w:rPr>
        <w:t xml:space="preserve"> Ustawa z dnia 11 marca 2004 r. o podatku od towarów i </w:t>
      </w:r>
      <w:r w:rsidRPr="00D555C7">
        <w:rPr>
          <w:rFonts w:ascii="Univers for KPMG Light" w:hAnsi="Univers for KPMG Light"/>
          <w:sz w:val="18"/>
          <w:szCs w:val="18"/>
        </w:rPr>
        <w:t>usług (Dz.U. z 202</w:t>
      </w:r>
      <w:r w:rsidR="00646744" w:rsidRPr="005A661E">
        <w:rPr>
          <w:rFonts w:ascii="Univers for KPMG Light" w:hAnsi="Univers for KPMG Light"/>
          <w:sz w:val="18"/>
          <w:szCs w:val="18"/>
        </w:rPr>
        <w:t>2</w:t>
      </w:r>
      <w:r w:rsidRPr="00D555C7">
        <w:rPr>
          <w:rFonts w:ascii="Univers for KPMG Light" w:hAnsi="Univers for KPMG Light"/>
          <w:sz w:val="18"/>
          <w:szCs w:val="18"/>
        </w:rPr>
        <w:t xml:space="preserve"> r. poz. </w:t>
      </w:r>
      <w:r w:rsidR="008B661E" w:rsidRPr="005A661E">
        <w:rPr>
          <w:rFonts w:ascii="Univers for KPMG Light" w:hAnsi="Univers for KPMG Light"/>
          <w:sz w:val="18"/>
          <w:szCs w:val="18"/>
        </w:rPr>
        <w:t>931</w:t>
      </w:r>
      <w:r w:rsidRPr="00D555C7">
        <w:rPr>
          <w:rFonts w:ascii="Univers for KPMG Light" w:hAnsi="Univers for KPMG Light"/>
          <w:sz w:val="18"/>
          <w:szCs w:val="18"/>
        </w:rPr>
        <w:t>)</w:t>
      </w:r>
    </w:p>
  </w:footnote>
  <w:footnote w:id="2">
    <w:p w14:paraId="27201261" w14:textId="2CC44BF6" w:rsidR="001F593B" w:rsidRDefault="001F593B" w:rsidP="001F593B">
      <w:pPr>
        <w:pStyle w:val="FootnoteText"/>
      </w:pPr>
      <w:r w:rsidRPr="00D555C7">
        <w:rPr>
          <w:rStyle w:val="FootnoteReference"/>
          <w:rFonts w:ascii="Univers for KPMG Light" w:hAnsi="Univers for KPMG Light"/>
          <w:sz w:val="18"/>
          <w:szCs w:val="18"/>
        </w:rPr>
        <w:footnoteRef/>
      </w:r>
      <w:r w:rsidRPr="00D555C7">
        <w:rPr>
          <w:rFonts w:ascii="Univers for KPMG Light" w:hAnsi="Univers for KPMG Light"/>
          <w:sz w:val="18"/>
          <w:szCs w:val="18"/>
        </w:rPr>
        <w:t xml:space="preserve"> Ustawa z dnia 6 grudnia 2008 r. o podatku akcyzowym (Dz.U. z 202</w:t>
      </w:r>
      <w:r w:rsidR="008B661E" w:rsidRPr="005A661E">
        <w:rPr>
          <w:rFonts w:ascii="Univers for KPMG Light" w:hAnsi="Univers for KPMG Light"/>
          <w:sz w:val="18"/>
          <w:szCs w:val="18"/>
        </w:rPr>
        <w:t>2</w:t>
      </w:r>
      <w:r w:rsidRPr="00D555C7">
        <w:rPr>
          <w:rFonts w:ascii="Univers for KPMG Light" w:hAnsi="Univers for KPMG Light"/>
          <w:sz w:val="18"/>
          <w:szCs w:val="18"/>
        </w:rPr>
        <w:t xml:space="preserve"> r. poz. </w:t>
      </w:r>
      <w:r w:rsidR="008B661E" w:rsidRPr="005A661E">
        <w:rPr>
          <w:rFonts w:ascii="Univers for KPMG Light" w:hAnsi="Univers for KPMG Light"/>
          <w:sz w:val="18"/>
          <w:szCs w:val="18"/>
        </w:rPr>
        <w:t>143</w:t>
      </w:r>
      <w:r w:rsidRPr="00D555C7">
        <w:rPr>
          <w:rFonts w:ascii="Univers for KPMG Light" w:hAnsi="Univers for KPMG Light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194C" w14:textId="1653DECC" w:rsidR="006C7E44" w:rsidRDefault="006C7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90DB" w14:textId="2A96EE5C" w:rsidR="006C7E44" w:rsidRDefault="006C7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BEC9" w14:textId="4E9DC9CF" w:rsidR="006C7E44" w:rsidRDefault="006C7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multilevel"/>
    <w:tmpl w:val="6B74DFA0"/>
    <w:lvl w:ilvl="0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  <w:szCs w:val="22"/>
      </w:rPr>
    </w:lvl>
    <w:lvl w:ilvl="1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—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hint="default"/>
      </w:rPr>
    </w:lvl>
    <w:lvl w:ilvl="4">
      <w:start w:val="1"/>
      <w:numFmt w:val="bullet"/>
      <w:pStyle w:val="ListBullet5"/>
      <w:lvlText w:val="—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040"/>
        </w:tabs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08ED271E"/>
    <w:multiLevelType w:val="hybridMultilevel"/>
    <w:tmpl w:val="B4801DAA"/>
    <w:lvl w:ilvl="0" w:tplc="A3661DFE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23748"/>
    <w:multiLevelType w:val="hybridMultilevel"/>
    <w:tmpl w:val="F0B04804"/>
    <w:lvl w:ilvl="0" w:tplc="A3428818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C4253"/>
    <w:multiLevelType w:val="singleLevel"/>
    <w:tmpl w:val="ED06AF1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DA46A78"/>
    <w:multiLevelType w:val="hybridMultilevel"/>
    <w:tmpl w:val="A47802CA"/>
    <w:lvl w:ilvl="0" w:tplc="4AFAC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C34"/>
    <w:multiLevelType w:val="hybridMultilevel"/>
    <w:tmpl w:val="8E561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A4A00"/>
    <w:multiLevelType w:val="hybridMultilevel"/>
    <w:tmpl w:val="70AC0F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A25012"/>
    <w:multiLevelType w:val="hybridMultilevel"/>
    <w:tmpl w:val="F048B7D2"/>
    <w:lvl w:ilvl="0" w:tplc="99D8817E">
      <w:start w:val="1"/>
      <w:numFmt w:val="bullet"/>
      <w:lvlText w:val="—"/>
      <w:lvlJc w:val="left"/>
      <w:pPr>
        <w:ind w:left="1434" w:hanging="360"/>
      </w:pPr>
      <w:rPr>
        <w:rFonts w:ascii="Arial" w:hAnsi="Arial" w:cs="Aria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11F47FE"/>
    <w:multiLevelType w:val="multilevel"/>
    <w:tmpl w:val="0010D086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5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10" w:hanging="180"/>
      </w:pPr>
    </w:lvl>
    <w:lvl w:ilvl="3" w:tentative="1">
      <w:start w:val="1"/>
      <w:numFmt w:val="decimal"/>
      <w:lvlText w:val="%4."/>
      <w:lvlJc w:val="left"/>
      <w:pPr>
        <w:ind w:left="2530" w:hanging="360"/>
      </w:pPr>
    </w:lvl>
    <w:lvl w:ilvl="4" w:tentative="1">
      <w:start w:val="1"/>
      <w:numFmt w:val="lowerLetter"/>
      <w:lvlText w:val="%5."/>
      <w:lvlJc w:val="left"/>
      <w:pPr>
        <w:ind w:left="3250" w:hanging="360"/>
      </w:pPr>
    </w:lvl>
    <w:lvl w:ilvl="5" w:tentative="1">
      <w:start w:val="1"/>
      <w:numFmt w:val="lowerRoman"/>
      <w:lvlText w:val="%6."/>
      <w:lvlJc w:val="right"/>
      <w:pPr>
        <w:ind w:left="3970" w:hanging="180"/>
      </w:pPr>
    </w:lvl>
    <w:lvl w:ilvl="6" w:tentative="1">
      <w:start w:val="1"/>
      <w:numFmt w:val="decimal"/>
      <w:lvlText w:val="%7."/>
      <w:lvlJc w:val="left"/>
      <w:pPr>
        <w:ind w:left="4690" w:hanging="360"/>
      </w:pPr>
    </w:lvl>
    <w:lvl w:ilvl="7" w:tentative="1">
      <w:start w:val="1"/>
      <w:numFmt w:val="lowerLetter"/>
      <w:lvlText w:val="%8."/>
      <w:lvlJc w:val="left"/>
      <w:pPr>
        <w:ind w:left="5410" w:hanging="360"/>
      </w:pPr>
    </w:lvl>
    <w:lvl w:ilvl="8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53C74307"/>
    <w:multiLevelType w:val="singleLevel"/>
    <w:tmpl w:val="08562A5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0" w15:restartNumberingAfterBreak="0">
    <w:nsid w:val="5446419D"/>
    <w:multiLevelType w:val="hybridMultilevel"/>
    <w:tmpl w:val="E678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A4908"/>
    <w:multiLevelType w:val="hybridMultilevel"/>
    <w:tmpl w:val="EA6A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81BDC"/>
    <w:multiLevelType w:val="hybridMultilevel"/>
    <w:tmpl w:val="00BA1942"/>
    <w:lvl w:ilvl="0" w:tplc="4AFAC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E1771"/>
    <w:multiLevelType w:val="hybridMultilevel"/>
    <w:tmpl w:val="F48060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8E06B9A"/>
    <w:multiLevelType w:val="hybridMultilevel"/>
    <w:tmpl w:val="A4409E06"/>
    <w:lvl w:ilvl="0" w:tplc="4AFAC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50469">
    <w:abstractNumId w:val="2"/>
  </w:num>
  <w:num w:numId="2" w16cid:durableId="1893495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1501355">
    <w:abstractNumId w:val="1"/>
  </w:num>
  <w:num w:numId="4" w16cid:durableId="553201240">
    <w:abstractNumId w:val="12"/>
  </w:num>
  <w:num w:numId="5" w16cid:durableId="805584100">
    <w:abstractNumId w:val="14"/>
  </w:num>
  <w:num w:numId="6" w16cid:durableId="1333752043">
    <w:abstractNumId w:val="10"/>
  </w:num>
  <w:num w:numId="7" w16cid:durableId="967708495">
    <w:abstractNumId w:val="8"/>
  </w:num>
  <w:num w:numId="8" w16cid:durableId="5908976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71231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8609928">
    <w:abstractNumId w:val="4"/>
  </w:num>
  <w:num w:numId="11" w16cid:durableId="1559509772">
    <w:abstractNumId w:val="5"/>
  </w:num>
  <w:num w:numId="12" w16cid:durableId="66804164">
    <w:abstractNumId w:val="11"/>
  </w:num>
  <w:num w:numId="13" w16cid:durableId="1279531532">
    <w:abstractNumId w:val="3"/>
  </w:num>
  <w:num w:numId="14" w16cid:durableId="778833508">
    <w:abstractNumId w:val="0"/>
  </w:num>
  <w:num w:numId="15" w16cid:durableId="1948416650">
    <w:abstractNumId w:val="9"/>
  </w:num>
  <w:num w:numId="16" w16cid:durableId="615257332">
    <w:abstractNumId w:val="6"/>
  </w:num>
  <w:num w:numId="17" w16cid:durableId="731276781">
    <w:abstractNumId w:val="13"/>
  </w:num>
  <w:num w:numId="18" w16cid:durableId="72583545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60"/>
    <w:rsid w:val="00002987"/>
    <w:rsid w:val="0000550F"/>
    <w:rsid w:val="00010434"/>
    <w:rsid w:val="0001169A"/>
    <w:rsid w:val="00011F7C"/>
    <w:rsid w:val="00013C4B"/>
    <w:rsid w:val="0001529D"/>
    <w:rsid w:val="000159AB"/>
    <w:rsid w:val="000169F3"/>
    <w:rsid w:val="00020631"/>
    <w:rsid w:val="00025034"/>
    <w:rsid w:val="0002602D"/>
    <w:rsid w:val="0002606D"/>
    <w:rsid w:val="00030A85"/>
    <w:rsid w:val="00032147"/>
    <w:rsid w:val="00032A75"/>
    <w:rsid w:val="00036139"/>
    <w:rsid w:val="000422D7"/>
    <w:rsid w:val="000426CC"/>
    <w:rsid w:val="00047782"/>
    <w:rsid w:val="00050B04"/>
    <w:rsid w:val="00051D79"/>
    <w:rsid w:val="00054C14"/>
    <w:rsid w:val="00055170"/>
    <w:rsid w:val="000558EB"/>
    <w:rsid w:val="00055BEA"/>
    <w:rsid w:val="00062C13"/>
    <w:rsid w:val="0006724D"/>
    <w:rsid w:val="00073AE8"/>
    <w:rsid w:val="000759D5"/>
    <w:rsid w:val="0008015D"/>
    <w:rsid w:val="000825F4"/>
    <w:rsid w:val="00082998"/>
    <w:rsid w:val="0008333B"/>
    <w:rsid w:val="00090533"/>
    <w:rsid w:val="000940A2"/>
    <w:rsid w:val="000A1031"/>
    <w:rsid w:val="000A28E6"/>
    <w:rsid w:val="000A5340"/>
    <w:rsid w:val="000B111C"/>
    <w:rsid w:val="000B1679"/>
    <w:rsid w:val="000B3355"/>
    <w:rsid w:val="000B36EE"/>
    <w:rsid w:val="000D00B7"/>
    <w:rsid w:val="000D5712"/>
    <w:rsid w:val="000E4E46"/>
    <w:rsid w:val="000E58C1"/>
    <w:rsid w:val="000F0123"/>
    <w:rsid w:val="000F78CF"/>
    <w:rsid w:val="00101BD3"/>
    <w:rsid w:val="001027B5"/>
    <w:rsid w:val="001068F0"/>
    <w:rsid w:val="00111BD4"/>
    <w:rsid w:val="00112AC0"/>
    <w:rsid w:val="00112C33"/>
    <w:rsid w:val="00116521"/>
    <w:rsid w:val="0012152C"/>
    <w:rsid w:val="00132C87"/>
    <w:rsid w:val="00133BFB"/>
    <w:rsid w:val="0013499E"/>
    <w:rsid w:val="001350E4"/>
    <w:rsid w:val="00147ECB"/>
    <w:rsid w:val="00150512"/>
    <w:rsid w:val="00150630"/>
    <w:rsid w:val="00166C7C"/>
    <w:rsid w:val="0016790A"/>
    <w:rsid w:val="001703C5"/>
    <w:rsid w:val="00181E53"/>
    <w:rsid w:val="001918A2"/>
    <w:rsid w:val="0019253E"/>
    <w:rsid w:val="001A78BD"/>
    <w:rsid w:val="001A7BC4"/>
    <w:rsid w:val="001C08EC"/>
    <w:rsid w:val="001C413D"/>
    <w:rsid w:val="001C6956"/>
    <w:rsid w:val="001D0535"/>
    <w:rsid w:val="001D057E"/>
    <w:rsid w:val="001D0851"/>
    <w:rsid w:val="001D42B9"/>
    <w:rsid w:val="001E113E"/>
    <w:rsid w:val="001E5ED0"/>
    <w:rsid w:val="001F1410"/>
    <w:rsid w:val="001F18D9"/>
    <w:rsid w:val="001F593B"/>
    <w:rsid w:val="001F6B0A"/>
    <w:rsid w:val="00203AA1"/>
    <w:rsid w:val="00206DDE"/>
    <w:rsid w:val="002075BF"/>
    <w:rsid w:val="00210BCE"/>
    <w:rsid w:val="002144EF"/>
    <w:rsid w:val="0021748F"/>
    <w:rsid w:val="0021763E"/>
    <w:rsid w:val="00221C98"/>
    <w:rsid w:val="00224D61"/>
    <w:rsid w:val="00225310"/>
    <w:rsid w:val="002262B5"/>
    <w:rsid w:val="002358CE"/>
    <w:rsid w:val="002430F4"/>
    <w:rsid w:val="002517AA"/>
    <w:rsid w:val="00256DDF"/>
    <w:rsid w:val="00260120"/>
    <w:rsid w:val="00273444"/>
    <w:rsid w:val="002805D6"/>
    <w:rsid w:val="00280935"/>
    <w:rsid w:val="0028353A"/>
    <w:rsid w:val="0028630E"/>
    <w:rsid w:val="002910EF"/>
    <w:rsid w:val="0029435C"/>
    <w:rsid w:val="0029549B"/>
    <w:rsid w:val="00295764"/>
    <w:rsid w:val="002A07CE"/>
    <w:rsid w:val="002A3851"/>
    <w:rsid w:val="002A485E"/>
    <w:rsid w:val="002A5AFD"/>
    <w:rsid w:val="002A7EEF"/>
    <w:rsid w:val="002B3D0F"/>
    <w:rsid w:val="002B7261"/>
    <w:rsid w:val="002B7EFA"/>
    <w:rsid w:val="002D5B85"/>
    <w:rsid w:val="002D6578"/>
    <w:rsid w:val="002D7B17"/>
    <w:rsid w:val="002E441D"/>
    <w:rsid w:val="002F1EB2"/>
    <w:rsid w:val="002F3B08"/>
    <w:rsid w:val="0030176A"/>
    <w:rsid w:val="00303CF2"/>
    <w:rsid w:val="003040B8"/>
    <w:rsid w:val="00310B9E"/>
    <w:rsid w:val="0031121C"/>
    <w:rsid w:val="00324425"/>
    <w:rsid w:val="00326AB1"/>
    <w:rsid w:val="00326C6D"/>
    <w:rsid w:val="00333CF3"/>
    <w:rsid w:val="003419A6"/>
    <w:rsid w:val="003615DA"/>
    <w:rsid w:val="00362261"/>
    <w:rsid w:val="00363B7D"/>
    <w:rsid w:val="00365006"/>
    <w:rsid w:val="003678C0"/>
    <w:rsid w:val="00381CB8"/>
    <w:rsid w:val="00383937"/>
    <w:rsid w:val="0038514C"/>
    <w:rsid w:val="003936B7"/>
    <w:rsid w:val="003A3E91"/>
    <w:rsid w:val="003A75B4"/>
    <w:rsid w:val="003A7B9E"/>
    <w:rsid w:val="003B065E"/>
    <w:rsid w:val="003B2B72"/>
    <w:rsid w:val="003B357D"/>
    <w:rsid w:val="003B4AD1"/>
    <w:rsid w:val="003B6566"/>
    <w:rsid w:val="003B7F31"/>
    <w:rsid w:val="003C3DAE"/>
    <w:rsid w:val="003D3903"/>
    <w:rsid w:val="003E0B5F"/>
    <w:rsid w:val="003E3E7C"/>
    <w:rsid w:val="003F4E29"/>
    <w:rsid w:val="00405FB6"/>
    <w:rsid w:val="00411966"/>
    <w:rsid w:val="00411AC9"/>
    <w:rsid w:val="004255F1"/>
    <w:rsid w:val="004273F9"/>
    <w:rsid w:val="00427A5B"/>
    <w:rsid w:val="00434A07"/>
    <w:rsid w:val="00434C97"/>
    <w:rsid w:val="0044431B"/>
    <w:rsid w:val="004505D7"/>
    <w:rsid w:val="004513E1"/>
    <w:rsid w:val="00452CAA"/>
    <w:rsid w:val="00454ACC"/>
    <w:rsid w:val="0045575B"/>
    <w:rsid w:val="004558FF"/>
    <w:rsid w:val="00462128"/>
    <w:rsid w:val="004627E3"/>
    <w:rsid w:val="0047342B"/>
    <w:rsid w:val="00476FAF"/>
    <w:rsid w:val="004837A6"/>
    <w:rsid w:val="004875E0"/>
    <w:rsid w:val="00487E15"/>
    <w:rsid w:val="00491DA9"/>
    <w:rsid w:val="004937B8"/>
    <w:rsid w:val="00493952"/>
    <w:rsid w:val="00495AC8"/>
    <w:rsid w:val="004A1626"/>
    <w:rsid w:val="004A539A"/>
    <w:rsid w:val="004B3644"/>
    <w:rsid w:val="004B3D9C"/>
    <w:rsid w:val="004B5C0B"/>
    <w:rsid w:val="004B6619"/>
    <w:rsid w:val="004B6FDD"/>
    <w:rsid w:val="004C05F5"/>
    <w:rsid w:val="004C26FA"/>
    <w:rsid w:val="004D0D89"/>
    <w:rsid w:val="004D6B0F"/>
    <w:rsid w:val="004E13DC"/>
    <w:rsid w:val="004E14A4"/>
    <w:rsid w:val="004F7BFA"/>
    <w:rsid w:val="00504925"/>
    <w:rsid w:val="00504A55"/>
    <w:rsid w:val="00505157"/>
    <w:rsid w:val="00505F8E"/>
    <w:rsid w:val="00506775"/>
    <w:rsid w:val="00511BDC"/>
    <w:rsid w:val="005166EE"/>
    <w:rsid w:val="0051755C"/>
    <w:rsid w:val="00521D90"/>
    <w:rsid w:val="0052217C"/>
    <w:rsid w:val="0052253C"/>
    <w:rsid w:val="005245FF"/>
    <w:rsid w:val="00530BC1"/>
    <w:rsid w:val="00532F92"/>
    <w:rsid w:val="005346B2"/>
    <w:rsid w:val="005373B3"/>
    <w:rsid w:val="00540B5A"/>
    <w:rsid w:val="00544464"/>
    <w:rsid w:val="00544E01"/>
    <w:rsid w:val="005456BC"/>
    <w:rsid w:val="00552E1D"/>
    <w:rsid w:val="00560137"/>
    <w:rsid w:val="00565019"/>
    <w:rsid w:val="005653B6"/>
    <w:rsid w:val="005653E4"/>
    <w:rsid w:val="005657DE"/>
    <w:rsid w:val="005679FC"/>
    <w:rsid w:val="00577872"/>
    <w:rsid w:val="005807C8"/>
    <w:rsid w:val="00580CAC"/>
    <w:rsid w:val="0058360A"/>
    <w:rsid w:val="005846AF"/>
    <w:rsid w:val="005972E8"/>
    <w:rsid w:val="005A1E52"/>
    <w:rsid w:val="005A2819"/>
    <w:rsid w:val="005A458F"/>
    <w:rsid w:val="005A4992"/>
    <w:rsid w:val="005A661E"/>
    <w:rsid w:val="005A7CCB"/>
    <w:rsid w:val="005B0347"/>
    <w:rsid w:val="005B279C"/>
    <w:rsid w:val="005B29AA"/>
    <w:rsid w:val="005B2C82"/>
    <w:rsid w:val="005B3ACD"/>
    <w:rsid w:val="005C6AD5"/>
    <w:rsid w:val="005D0929"/>
    <w:rsid w:val="005D398E"/>
    <w:rsid w:val="005D3AAA"/>
    <w:rsid w:val="005D49F6"/>
    <w:rsid w:val="005D7B62"/>
    <w:rsid w:val="005E0242"/>
    <w:rsid w:val="005E317F"/>
    <w:rsid w:val="005E63F6"/>
    <w:rsid w:val="005F1A91"/>
    <w:rsid w:val="005F310C"/>
    <w:rsid w:val="005F3634"/>
    <w:rsid w:val="005F528F"/>
    <w:rsid w:val="005F560A"/>
    <w:rsid w:val="005F7C49"/>
    <w:rsid w:val="006007D4"/>
    <w:rsid w:val="00601F71"/>
    <w:rsid w:val="00604BE2"/>
    <w:rsid w:val="00605E5A"/>
    <w:rsid w:val="00612A7F"/>
    <w:rsid w:val="0061480D"/>
    <w:rsid w:val="00624516"/>
    <w:rsid w:val="006400EF"/>
    <w:rsid w:val="0064032D"/>
    <w:rsid w:val="006404A2"/>
    <w:rsid w:val="00643705"/>
    <w:rsid w:val="00646744"/>
    <w:rsid w:val="006523D6"/>
    <w:rsid w:val="00652AC7"/>
    <w:rsid w:val="00652C6B"/>
    <w:rsid w:val="00652E56"/>
    <w:rsid w:val="00662893"/>
    <w:rsid w:val="006631CF"/>
    <w:rsid w:val="00666B49"/>
    <w:rsid w:val="006745D1"/>
    <w:rsid w:val="00676A98"/>
    <w:rsid w:val="00677D32"/>
    <w:rsid w:val="00684534"/>
    <w:rsid w:val="00693731"/>
    <w:rsid w:val="0069571D"/>
    <w:rsid w:val="006A098E"/>
    <w:rsid w:val="006A1AA9"/>
    <w:rsid w:val="006A2E7F"/>
    <w:rsid w:val="006A4250"/>
    <w:rsid w:val="006A4CAA"/>
    <w:rsid w:val="006A5CB3"/>
    <w:rsid w:val="006A6131"/>
    <w:rsid w:val="006B3B94"/>
    <w:rsid w:val="006B5694"/>
    <w:rsid w:val="006B5C57"/>
    <w:rsid w:val="006B5F06"/>
    <w:rsid w:val="006B7496"/>
    <w:rsid w:val="006C7E44"/>
    <w:rsid w:val="006D0EE4"/>
    <w:rsid w:val="006D1696"/>
    <w:rsid w:val="006E092D"/>
    <w:rsid w:val="006E6018"/>
    <w:rsid w:val="006F584B"/>
    <w:rsid w:val="00700A0B"/>
    <w:rsid w:val="00702E5E"/>
    <w:rsid w:val="0070665D"/>
    <w:rsid w:val="007069E9"/>
    <w:rsid w:val="007268DF"/>
    <w:rsid w:val="007361D2"/>
    <w:rsid w:val="00737C0C"/>
    <w:rsid w:val="007410B3"/>
    <w:rsid w:val="0074273D"/>
    <w:rsid w:val="007459AF"/>
    <w:rsid w:val="00745CAC"/>
    <w:rsid w:val="0074694E"/>
    <w:rsid w:val="00750C47"/>
    <w:rsid w:val="00753EA7"/>
    <w:rsid w:val="00760B05"/>
    <w:rsid w:val="00764728"/>
    <w:rsid w:val="00764FBD"/>
    <w:rsid w:val="00766074"/>
    <w:rsid w:val="00766D19"/>
    <w:rsid w:val="00783490"/>
    <w:rsid w:val="007877A9"/>
    <w:rsid w:val="0079051D"/>
    <w:rsid w:val="00791376"/>
    <w:rsid w:val="00793019"/>
    <w:rsid w:val="007941EA"/>
    <w:rsid w:val="00796338"/>
    <w:rsid w:val="007A0BD7"/>
    <w:rsid w:val="007A4F4D"/>
    <w:rsid w:val="007A6BA8"/>
    <w:rsid w:val="007B31ED"/>
    <w:rsid w:val="007B7CFA"/>
    <w:rsid w:val="007C5EBF"/>
    <w:rsid w:val="007D02D2"/>
    <w:rsid w:val="007D031C"/>
    <w:rsid w:val="007D3041"/>
    <w:rsid w:val="007D3184"/>
    <w:rsid w:val="007F0DAD"/>
    <w:rsid w:val="007F2FE5"/>
    <w:rsid w:val="007F3991"/>
    <w:rsid w:val="008014F3"/>
    <w:rsid w:val="008036FD"/>
    <w:rsid w:val="008104FD"/>
    <w:rsid w:val="00814695"/>
    <w:rsid w:val="00834A68"/>
    <w:rsid w:val="00837279"/>
    <w:rsid w:val="008402E0"/>
    <w:rsid w:val="0084096B"/>
    <w:rsid w:val="00842496"/>
    <w:rsid w:val="00845EB4"/>
    <w:rsid w:val="0085094D"/>
    <w:rsid w:val="008523B0"/>
    <w:rsid w:val="00852B86"/>
    <w:rsid w:val="00852F57"/>
    <w:rsid w:val="00865C7B"/>
    <w:rsid w:val="0086705B"/>
    <w:rsid w:val="00877F7B"/>
    <w:rsid w:val="008807A8"/>
    <w:rsid w:val="00890DC9"/>
    <w:rsid w:val="00893251"/>
    <w:rsid w:val="0089414B"/>
    <w:rsid w:val="00896103"/>
    <w:rsid w:val="008A0276"/>
    <w:rsid w:val="008A0838"/>
    <w:rsid w:val="008A3B8B"/>
    <w:rsid w:val="008A6CD8"/>
    <w:rsid w:val="008A6FC0"/>
    <w:rsid w:val="008B3372"/>
    <w:rsid w:val="008B643E"/>
    <w:rsid w:val="008B661E"/>
    <w:rsid w:val="008C1AF6"/>
    <w:rsid w:val="008C321D"/>
    <w:rsid w:val="008C4A69"/>
    <w:rsid w:val="008C7F0A"/>
    <w:rsid w:val="008D74E6"/>
    <w:rsid w:val="008E27F6"/>
    <w:rsid w:val="008F2D8E"/>
    <w:rsid w:val="009016BE"/>
    <w:rsid w:val="009038EA"/>
    <w:rsid w:val="00907708"/>
    <w:rsid w:val="009108B8"/>
    <w:rsid w:val="00913D98"/>
    <w:rsid w:val="00915A98"/>
    <w:rsid w:val="00921B9C"/>
    <w:rsid w:val="009301ED"/>
    <w:rsid w:val="0093069E"/>
    <w:rsid w:val="00933875"/>
    <w:rsid w:val="0094148C"/>
    <w:rsid w:val="00950B57"/>
    <w:rsid w:val="009526BA"/>
    <w:rsid w:val="00952D83"/>
    <w:rsid w:val="00952F6F"/>
    <w:rsid w:val="00960D3C"/>
    <w:rsid w:val="00961D61"/>
    <w:rsid w:val="009625A7"/>
    <w:rsid w:val="0097443A"/>
    <w:rsid w:val="00976568"/>
    <w:rsid w:val="00981871"/>
    <w:rsid w:val="00987AC2"/>
    <w:rsid w:val="00987AE7"/>
    <w:rsid w:val="00987B7A"/>
    <w:rsid w:val="00987F11"/>
    <w:rsid w:val="009A1250"/>
    <w:rsid w:val="009A3580"/>
    <w:rsid w:val="009A46D8"/>
    <w:rsid w:val="009A6D88"/>
    <w:rsid w:val="009B46B4"/>
    <w:rsid w:val="009B7DD7"/>
    <w:rsid w:val="009B7E53"/>
    <w:rsid w:val="009C17A3"/>
    <w:rsid w:val="009C39E6"/>
    <w:rsid w:val="009C5AE4"/>
    <w:rsid w:val="009C71A1"/>
    <w:rsid w:val="009D0A19"/>
    <w:rsid w:val="009D10EC"/>
    <w:rsid w:val="009D1122"/>
    <w:rsid w:val="009D4F10"/>
    <w:rsid w:val="009D685A"/>
    <w:rsid w:val="009E1158"/>
    <w:rsid w:val="009E5BD4"/>
    <w:rsid w:val="009F14E9"/>
    <w:rsid w:val="009F49D5"/>
    <w:rsid w:val="009F7FCB"/>
    <w:rsid w:val="00A051B4"/>
    <w:rsid w:val="00A07170"/>
    <w:rsid w:val="00A10025"/>
    <w:rsid w:val="00A11EB1"/>
    <w:rsid w:val="00A1328C"/>
    <w:rsid w:val="00A14010"/>
    <w:rsid w:val="00A152B6"/>
    <w:rsid w:val="00A1793B"/>
    <w:rsid w:val="00A22ACF"/>
    <w:rsid w:val="00A325FD"/>
    <w:rsid w:val="00A34BD0"/>
    <w:rsid w:val="00A372D9"/>
    <w:rsid w:val="00A435E9"/>
    <w:rsid w:val="00A51EA3"/>
    <w:rsid w:val="00A542C0"/>
    <w:rsid w:val="00A62B3A"/>
    <w:rsid w:val="00A64EC8"/>
    <w:rsid w:val="00A6608F"/>
    <w:rsid w:val="00A70A90"/>
    <w:rsid w:val="00A71957"/>
    <w:rsid w:val="00A72070"/>
    <w:rsid w:val="00A7516F"/>
    <w:rsid w:val="00A76714"/>
    <w:rsid w:val="00A81673"/>
    <w:rsid w:val="00A828A4"/>
    <w:rsid w:val="00A83EB3"/>
    <w:rsid w:val="00A84BD9"/>
    <w:rsid w:val="00A9094C"/>
    <w:rsid w:val="00A91740"/>
    <w:rsid w:val="00A930A0"/>
    <w:rsid w:val="00A94E0D"/>
    <w:rsid w:val="00A96C0C"/>
    <w:rsid w:val="00A971EF"/>
    <w:rsid w:val="00A978A6"/>
    <w:rsid w:val="00AA1F87"/>
    <w:rsid w:val="00AB0514"/>
    <w:rsid w:val="00AE1E3C"/>
    <w:rsid w:val="00AE28DA"/>
    <w:rsid w:val="00AE3566"/>
    <w:rsid w:val="00AE6833"/>
    <w:rsid w:val="00AE735E"/>
    <w:rsid w:val="00AF0722"/>
    <w:rsid w:val="00B003BD"/>
    <w:rsid w:val="00B046BC"/>
    <w:rsid w:val="00B115BA"/>
    <w:rsid w:val="00B15173"/>
    <w:rsid w:val="00B35FB9"/>
    <w:rsid w:val="00B36B21"/>
    <w:rsid w:val="00B56E7C"/>
    <w:rsid w:val="00B57DF3"/>
    <w:rsid w:val="00B6215F"/>
    <w:rsid w:val="00B63854"/>
    <w:rsid w:val="00B70C56"/>
    <w:rsid w:val="00B77291"/>
    <w:rsid w:val="00B852C0"/>
    <w:rsid w:val="00B86AE0"/>
    <w:rsid w:val="00B876A9"/>
    <w:rsid w:val="00B9303D"/>
    <w:rsid w:val="00B9358A"/>
    <w:rsid w:val="00B946CA"/>
    <w:rsid w:val="00B9702B"/>
    <w:rsid w:val="00BB37C7"/>
    <w:rsid w:val="00BB5F91"/>
    <w:rsid w:val="00BB78AB"/>
    <w:rsid w:val="00BB7C86"/>
    <w:rsid w:val="00BC1C3B"/>
    <w:rsid w:val="00BC754D"/>
    <w:rsid w:val="00BE1A46"/>
    <w:rsid w:val="00BE1E49"/>
    <w:rsid w:val="00BE2918"/>
    <w:rsid w:val="00BF05B4"/>
    <w:rsid w:val="00BF7D67"/>
    <w:rsid w:val="00C013DA"/>
    <w:rsid w:val="00C01D0B"/>
    <w:rsid w:val="00C0355C"/>
    <w:rsid w:val="00C036CC"/>
    <w:rsid w:val="00C10EA4"/>
    <w:rsid w:val="00C113E8"/>
    <w:rsid w:val="00C13BD2"/>
    <w:rsid w:val="00C16FD1"/>
    <w:rsid w:val="00C200FE"/>
    <w:rsid w:val="00C24809"/>
    <w:rsid w:val="00C27940"/>
    <w:rsid w:val="00C31BA1"/>
    <w:rsid w:val="00C34480"/>
    <w:rsid w:val="00C34E22"/>
    <w:rsid w:val="00C37A51"/>
    <w:rsid w:val="00C40CC0"/>
    <w:rsid w:val="00C5538E"/>
    <w:rsid w:val="00C55410"/>
    <w:rsid w:val="00C6151A"/>
    <w:rsid w:val="00C6252A"/>
    <w:rsid w:val="00C64F0B"/>
    <w:rsid w:val="00C66A5B"/>
    <w:rsid w:val="00C70444"/>
    <w:rsid w:val="00C7170A"/>
    <w:rsid w:val="00C753CB"/>
    <w:rsid w:val="00C7604A"/>
    <w:rsid w:val="00C803C3"/>
    <w:rsid w:val="00C81387"/>
    <w:rsid w:val="00C9448A"/>
    <w:rsid w:val="00C95335"/>
    <w:rsid w:val="00CA20C7"/>
    <w:rsid w:val="00CA3B2B"/>
    <w:rsid w:val="00CB148A"/>
    <w:rsid w:val="00CB1C0A"/>
    <w:rsid w:val="00CB305E"/>
    <w:rsid w:val="00CB73C5"/>
    <w:rsid w:val="00CC0460"/>
    <w:rsid w:val="00CC0F53"/>
    <w:rsid w:val="00CC1417"/>
    <w:rsid w:val="00CC4EF7"/>
    <w:rsid w:val="00CC55E8"/>
    <w:rsid w:val="00CD19E9"/>
    <w:rsid w:val="00CD3CE8"/>
    <w:rsid w:val="00CD47E7"/>
    <w:rsid w:val="00CD4DAC"/>
    <w:rsid w:val="00CD752F"/>
    <w:rsid w:val="00CD7D25"/>
    <w:rsid w:val="00CF0174"/>
    <w:rsid w:val="00CF084C"/>
    <w:rsid w:val="00CF32CA"/>
    <w:rsid w:val="00CF673B"/>
    <w:rsid w:val="00CF694F"/>
    <w:rsid w:val="00CF6FE6"/>
    <w:rsid w:val="00D21E2C"/>
    <w:rsid w:val="00D30F71"/>
    <w:rsid w:val="00D3233C"/>
    <w:rsid w:val="00D40FCE"/>
    <w:rsid w:val="00D41542"/>
    <w:rsid w:val="00D473D0"/>
    <w:rsid w:val="00D47DE4"/>
    <w:rsid w:val="00D47ED9"/>
    <w:rsid w:val="00D5291D"/>
    <w:rsid w:val="00D555C7"/>
    <w:rsid w:val="00D56FED"/>
    <w:rsid w:val="00D60994"/>
    <w:rsid w:val="00D60FE4"/>
    <w:rsid w:val="00D62E8B"/>
    <w:rsid w:val="00D641DC"/>
    <w:rsid w:val="00D65C96"/>
    <w:rsid w:val="00D72298"/>
    <w:rsid w:val="00D778E8"/>
    <w:rsid w:val="00D80ECB"/>
    <w:rsid w:val="00D825D1"/>
    <w:rsid w:val="00D82C58"/>
    <w:rsid w:val="00D87B32"/>
    <w:rsid w:val="00D90CA7"/>
    <w:rsid w:val="00D91589"/>
    <w:rsid w:val="00D9445D"/>
    <w:rsid w:val="00D9458C"/>
    <w:rsid w:val="00DA1134"/>
    <w:rsid w:val="00DB0C74"/>
    <w:rsid w:val="00DB4024"/>
    <w:rsid w:val="00DB66C9"/>
    <w:rsid w:val="00DC38C1"/>
    <w:rsid w:val="00DC597C"/>
    <w:rsid w:val="00DC6390"/>
    <w:rsid w:val="00DD436C"/>
    <w:rsid w:val="00DE1EDE"/>
    <w:rsid w:val="00DE4252"/>
    <w:rsid w:val="00DE7387"/>
    <w:rsid w:val="00DF4668"/>
    <w:rsid w:val="00DF4725"/>
    <w:rsid w:val="00E0040D"/>
    <w:rsid w:val="00E02525"/>
    <w:rsid w:val="00E04529"/>
    <w:rsid w:val="00E05148"/>
    <w:rsid w:val="00E1129E"/>
    <w:rsid w:val="00E14762"/>
    <w:rsid w:val="00E20CF2"/>
    <w:rsid w:val="00E2494E"/>
    <w:rsid w:val="00E30094"/>
    <w:rsid w:val="00E36A63"/>
    <w:rsid w:val="00E420D4"/>
    <w:rsid w:val="00E42818"/>
    <w:rsid w:val="00E444E9"/>
    <w:rsid w:val="00E52AC1"/>
    <w:rsid w:val="00E542D1"/>
    <w:rsid w:val="00E5458D"/>
    <w:rsid w:val="00E5480B"/>
    <w:rsid w:val="00E700D6"/>
    <w:rsid w:val="00E70FE0"/>
    <w:rsid w:val="00E7445F"/>
    <w:rsid w:val="00E77D32"/>
    <w:rsid w:val="00E77F1A"/>
    <w:rsid w:val="00E80C45"/>
    <w:rsid w:val="00E8569E"/>
    <w:rsid w:val="00E85F70"/>
    <w:rsid w:val="00E86E1F"/>
    <w:rsid w:val="00E87248"/>
    <w:rsid w:val="00E91E5B"/>
    <w:rsid w:val="00E92A78"/>
    <w:rsid w:val="00E94BF8"/>
    <w:rsid w:val="00E94CA3"/>
    <w:rsid w:val="00EA1BE6"/>
    <w:rsid w:val="00EA5995"/>
    <w:rsid w:val="00EA5C99"/>
    <w:rsid w:val="00EB7EBF"/>
    <w:rsid w:val="00ED1327"/>
    <w:rsid w:val="00ED2999"/>
    <w:rsid w:val="00ED5763"/>
    <w:rsid w:val="00ED6E6E"/>
    <w:rsid w:val="00ED747E"/>
    <w:rsid w:val="00EE2723"/>
    <w:rsid w:val="00EE2CC5"/>
    <w:rsid w:val="00EF1B53"/>
    <w:rsid w:val="00F058D4"/>
    <w:rsid w:val="00F13B44"/>
    <w:rsid w:val="00F15CBF"/>
    <w:rsid w:val="00F20506"/>
    <w:rsid w:val="00F2388F"/>
    <w:rsid w:val="00F25FAB"/>
    <w:rsid w:val="00F31839"/>
    <w:rsid w:val="00F33DAE"/>
    <w:rsid w:val="00F348C1"/>
    <w:rsid w:val="00F40CEF"/>
    <w:rsid w:val="00F5021E"/>
    <w:rsid w:val="00F53AAF"/>
    <w:rsid w:val="00F53C6B"/>
    <w:rsid w:val="00F55B13"/>
    <w:rsid w:val="00F62AFA"/>
    <w:rsid w:val="00F63875"/>
    <w:rsid w:val="00F66248"/>
    <w:rsid w:val="00F71C01"/>
    <w:rsid w:val="00F81C06"/>
    <w:rsid w:val="00F835EA"/>
    <w:rsid w:val="00F860B0"/>
    <w:rsid w:val="00F91C2A"/>
    <w:rsid w:val="00F97538"/>
    <w:rsid w:val="00FA0315"/>
    <w:rsid w:val="00FA75ED"/>
    <w:rsid w:val="00FB25C8"/>
    <w:rsid w:val="00FB2EDB"/>
    <w:rsid w:val="00FB6971"/>
    <w:rsid w:val="00FC0631"/>
    <w:rsid w:val="00FC4094"/>
    <w:rsid w:val="00FD3A95"/>
    <w:rsid w:val="00FE5478"/>
    <w:rsid w:val="00FF1BD5"/>
    <w:rsid w:val="00FF1C23"/>
    <w:rsid w:val="00FF542E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44ACB"/>
  <w15:chartTrackingRefBased/>
  <w15:docId w15:val="{B868153E-0E94-4D1E-8704-323B067D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E0"/>
    <w:pPr>
      <w:spacing w:before="120" w:after="1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5E0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5E0"/>
    <w:pPr>
      <w:keepNext/>
      <w:keepLines/>
      <w:numPr>
        <w:numId w:val="2"/>
      </w:numPr>
      <w:spacing w:before="16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5E0"/>
    <w:pPr>
      <w:keepNext/>
      <w:keepLines/>
      <w:numPr>
        <w:numId w:val="3"/>
      </w:numPr>
      <w:spacing w:before="240" w:after="240"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A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5E0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75E0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75E0"/>
    <w:rPr>
      <w:rFonts w:ascii="Arial" w:eastAsiaTheme="majorEastAsia" w:hAnsi="Arial" w:cstheme="majorBidi"/>
      <w:color w:val="000000" w:themeColor="text1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75E0"/>
    <w:pPr>
      <w:spacing w:before="0" w:after="0" w:line="240" w:lineRule="auto"/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75E0"/>
    <w:rPr>
      <w:rFonts w:ascii="Arial" w:eastAsiaTheme="majorEastAsia" w:hAnsi="Arial" w:cstheme="majorBidi"/>
      <w:b/>
      <w:color w:val="2F5496" w:themeColor="accent1" w:themeShade="BF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4875E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875E0"/>
    <w:pPr>
      <w:numPr>
        <w:numId w:val="0"/>
      </w:numPr>
      <w:jc w:val="left"/>
      <w:outlineLvl w:val="9"/>
    </w:pPr>
    <w:rPr>
      <w:rFonts w:asciiTheme="majorHAnsi" w:hAnsiTheme="majorHAnsi"/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75E0"/>
    <w:pPr>
      <w:spacing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875E0"/>
    <w:pPr>
      <w:tabs>
        <w:tab w:val="left" w:pos="660"/>
        <w:tab w:val="right" w:leader="dot" w:pos="9062"/>
      </w:tabs>
      <w:spacing w:after="0"/>
      <w:ind w:left="220"/>
      <w:jc w:val="left"/>
    </w:pPr>
    <w:rPr>
      <w:rFonts w:cs="Arial"/>
      <w:noProof/>
    </w:rPr>
  </w:style>
  <w:style w:type="character" w:styleId="Hyperlink">
    <w:name w:val="Hyperlink"/>
    <w:basedOn w:val="DefaultParagraphFont"/>
    <w:uiPriority w:val="99"/>
    <w:unhideWhenUsed/>
    <w:rsid w:val="004875E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875E0"/>
    <w:pPr>
      <w:spacing w:before="0"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table" w:styleId="TableGrid">
    <w:name w:val="Table Grid"/>
    <w:basedOn w:val="TableNormal"/>
    <w:uiPriority w:val="39"/>
    <w:rsid w:val="0048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5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E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875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E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7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35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35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0EE4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93B"/>
    <w:pPr>
      <w:spacing w:before="0"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9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93B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593B"/>
    <w:rPr>
      <w:rFonts w:ascii="Arial" w:hAnsi="Arial"/>
    </w:rPr>
  </w:style>
  <w:style w:type="paragraph" w:styleId="BodyText">
    <w:name w:val="Body Text"/>
    <w:basedOn w:val="Normal"/>
    <w:link w:val="BodyTextChar"/>
    <w:qFormat/>
    <w:rsid w:val="00FB6971"/>
    <w:pPr>
      <w:spacing w:before="240" w:after="240" w:line="240" w:lineRule="auto"/>
    </w:pPr>
    <w:rPr>
      <w:rFonts w:asciiTheme="minorHAnsi" w:eastAsia="Times New Roman" w:hAnsiTheme="minorHAns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FB6971"/>
    <w:rPr>
      <w:rFonts w:eastAsia="Times New Roman" w:cs="Times New Roman"/>
      <w:lang w:eastAsia="en-AU"/>
    </w:rPr>
  </w:style>
  <w:style w:type="paragraph" w:styleId="ListBullet">
    <w:name w:val="List Bullet"/>
    <w:basedOn w:val="BodyText"/>
    <w:qFormat/>
    <w:rsid w:val="00FB6971"/>
    <w:pPr>
      <w:numPr>
        <w:numId w:val="14"/>
      </w:numPr>
      <w:spacing w:before="60" w:after="60"/>
    </w:pPr>
  </w:style>
  <w:style w:type="paragraph" w:styleId="ListBullet2">
    <w:name w:val="List Bullet 2"/>
    <w:basedOn w:val="ListBullet"/>
    <w:qFormat/>
    <w:rsid w:val="00FB6971"/>
    <w:pPr>
      <w:numPr>
        <w:ilvl w:val="1"/>
      </w:numPr>
    </w:pPr>
  </w:style>
  <w:style w:type="paragraph" w:styleId="ListBullet3">
    <w:name w:val="List Bullet 3"/>
    <w:basedOn w:val="ListBullet"/>
    <w:uiPriority w:val="99"/>
    <w:qFormat/>
    <w:rsid w:val="00FB6971"/>
    <w:pPr>
      <w:numPr>
        <w:ilvl w:val="2"/>
      </w:numPr>
    </w:pPr>
  </w:style>
  <w:style w:type="paragraph" w:styleId="ListBullet4">
    <w:name w:val="List Bullet 4"/>
    <w:basedOn w:val="ListBullet2"/>
    <w:uiPriority w:val="99"/>
    <w:rsid w:val="00FB6971"/>
    <w:pPr>
      <w:numPr>
        <w:ilvl w:val="3"/>
      </w:numPr>
    </w:pPr>
  </w:style>
  <w:style w:type="paragraph" w:styleId="ListBullet5">
    <w:name w:val="List Bullet 5"/>
    <w:basedOn w:val="Normal"/>
    <w:uiPriority w:val="99"/>
    <w:semiHidden/>
    <w:unhideWhenUsed/>
    <w:rsid w:val="00FB6971"/>
    <w:pPr>
      <w:numPr>
        <w:ilvl w:val="4"/>
        <w:numId w:val="14"/>
      </w:numPr>
      <w:tabs>
        <w:tab w:val="clear" w:pos="1700"/>
        <w:tab w:val="num" w:pos="340"/>
      </w:tabs>
      <w:spacing w:line="240" w:lineRule="auto"/>
      <w:ind w:left="340"/>
      <w:contextualSpacing/>
    </w:pPr>
    <w:rPr>
      <w:rFonts w:asciiTheme="minorHAnsi" w:eastAsia="Times New Roman" w:hAnsiTheme="minorHAnsi" w:cs="Times New Roman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A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C1C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60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4728-490E-429B-B088-DE88A21E2AD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1333</Words>
  <Characters>8001</Characters>
  <Application>Microsoft Office Word</Application>
  <DocSecurity>4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Gondek, Aleksandra</dc:creator>
  <cp:keywords/>
  <dc:description/>
  <cp:lastModifiedBy>KPMG Tax</cp:lastModifiedBy>
  <cp:revision>2</cp:revision>
  <dcterms:created xsi:type="dcterms:W3CDTF">2024-01-10T10:37:00Z</dcterms:created>
  <dcterms:modified xsi:type="dcterms:W3CDTF">2024-01-10T10:37:00Z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af057-89d0-49a5-911d-fe542bdab1f7_Enabled">
    <vt:lpwstr>true</vt:lpwstr>
  </property>
  <property fmtid="{D5CDD505-2E9C-101B-9397-08002B2CF9AE}" pid="3" name="MSIP_Label_c14af057-89d0-49a5-911d-fe542bdab1f7_SetDate">
    <vt:lpwstr>2021-12-06T11:14:04Z</vt:lpwstr>
  </property>
  <property fmtid="{D5CDD505-2E9C-101B-9397-08002B2CF9AE}" pid="4" name="MSIP_Label_c14af057-89d0-49a5-911d-fe542bdab1f7_Method">
    <vt:lpwstr>Standard</vt:lpwstr>
  </property>
  <property fmtid="{D5CDD505-2E9C-101B-9397-08002B2CF9AE}" pid="5" name="MSIP_Label_c14af057-89d0-49a5-911d-fe542bdab1f7_Name">
    <vt:lpwstr>(Pilot) Business</vt:lpwstr>
  </property>
  <property fmtid="{D5CDD505-2E9C-101B-9397-08002B2CF9AE}" pid="6" name="MSIP_Label_c14af057-89d0-49a5-911d-fe542bdab1f7_SiteId">
    <vt:lpwstr>ed5d5f47-52dd-48af-90ca-f7bd83624eb9</vt:lpwstr>
  </property>
  <property fmtid="{D5CDD505-2E9C-101B-9397-08002B2CF9AE}" pid="7" name="MSIP_Label_c14af057-89d0-49a5-911d-fe542bdab1f7_ActionId">
    <vt:lpwstr>2f58b511-e0af-44e5-97e8-c5c41c77880d</vt:lpwstr>
  </property>
  <property fmtid="{D5CDD505-2E9C-101B-9397-08002B2CF9AE}" pid="8" name="MSIP_Label_c14af057-89d0-49a5-911d-fe542bdab1f7_ContentBits">
    <vt:lpwstr>2</vt:lpwstr>
  </property>
</Properties>
</file>